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C965" w14:textId="77777777" w:rsidR="004F7F45" w:rsidRPr="00E8030D" w:rsidRDefault="004F7F45" w:rsidP="004F7F45">
      <w:pPr>
        <w:ind w:left="0"/>
      </w:pPr>
      <w:r>
        <w:t>Circular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02</w:t>
      </w:r>
      <w:r w:rsidRPr="00A13E52">
        <w:rPr>
          <w:b/>
        </w:rPr>
        <w:t>(a)</w:t>
      </w:r>
      <w:r>
        <w:t xml:space="preserve"> – construction </w:t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>
        <w:t>05.04.2017</w:t>
      </w:r>
    </w:p>
    <w:p w14:paraId="2A931C5B" w14:textId="77777777" w:rsidR="004F7F45" w:rsidRDefault="004F7F45" w:rsidP="004F7F45"/>
    <w:p w14:paraId="68B3A1DA" w14:textId="77777777" w:rsidR="004F7F45" w:rsidRPr="00022515" w:rsidRDefault="004F7F45" w:rsidP="004F7F45">
      <w:pPr>
        <w:ind w:left="0"/>
      </w:pPr>
      <w:r w:rsidRPr="00022515">
        <w:t xml:space="preserve">Sub.: Revised guideline rates for centering and rod bending works – lumpsum for villas </w:t>
      </w:r>
    </w:p>
    <w:p w14:paraId="325515BD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 xml:space="preserve">Lumpsum rate for turnkey RCC work including centering and rod bending for bungalows shall be Rs. </w:t>
      </w:r>
      <w:r>
        <w:t>75/-</w:t>
      </w:r>
      <w:r w:rsidRPr="00022515">
        <w:t xml:space="preserve"> per </w:t>
      </w:r>
      <w:proofErr w:type="spellStart"/>
      <w:r w:rsidRPr="00022515">
        <w:t>sft</w:t>
      </w:r>
      <w:proofErr w:type="spellEnd"/>
      <w:r w:rsidRPr="00022515">
        <w:t xml:space="preserve"> for </w:t>
      </w:r>
      <w:r>
        <w:t>villa projects</w:t>
      </w:r>
      <w:r w:rsidRPr="00022515">
        <w:t xml:space="preserve"> on the super built-up area mentioned in the brochure. No bonus shall be paid.</w:t>
      </w:r>
    </w:p>
    <w:p w14:paraId="052FC509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>The guideline schedule of work shall be as follows:</w:t>
      </w:r>
    </w:p>
    <w:p w14:paraId="14A6A7CA" w14:textId="77777777" w:rsidR="004F7F45" w:rsidRPr="00022515" w:rsidRDefault="004F7F45" w:rsidP="004F7F45">
      <w:pPr>
        <w:numPr>
          <w:ilvl w:val="1"/>
          <w:numId w:val="1"/>
        </w:numPr>
        <w:tabs>
          <w:tab w:val="clear" w:pos="1080"/>
          <w:tab w:val="num" w:pos="900"/>
        </w:tabs>
        <w:spacing w:line="240" w:lineRule="auto"/>
        <w:ind w:left="900"/>
      </w:pPr>
      <w:r w:rsidRPr="00022515">
        <w:t>Starting from the date of laying the PCC the plinth beams should be completed within two weeks.</w:t>
      </w:r>
    </w:p>
    <w:p w14:paraId="587FA8BA" w14:textId="77777777" w:rsidR="004F7F45" w:rsidRPr="00022515" w:rsidRDefault="004F7F45" w:rsidP="004F7F45">
      <w:pPr>
        <w:numPr>
          <w:ilvl w:val="1"/>
          <w:numId w:val="1"/>
        </w:numPr>
        <w:tabs>
          <w:tab w:val="clear" w:pos="1080"/>
          <w:tab w:val="num" w:pos="900"/>
        </w:tabs>
        <w:spacing w:line="240" w:lineRule="auto"/>
        <w:ind w:left="900"/>
      </w:pPr>
      <w:r w:rsidRPr="00022515">
        <w:t>After completion of plinth beam each slab including all projections should be completed within four weeks.</w:t>
      </w:r>
    </w:p>
    <w:p w14:paraId="3478D830" w14:textId="77777777" w:rsidR="004F7F45" w:rsidRPr="00022515" w:rsidRDefault="004F7F45" w:rsidP="004F7F45">
      <w:pPr>
        <w:numPr>
          <w:ilvl w:val="1"/>
          <w:numId w:val="1"/>
        </w:numPr>
        <w:tabs>
          <w:tab w:val="clear" w:pos="1080"/>
          <w:tab w:val="num" w:pos="900"/>
        </w:tabs>
        <w:spacing w:line="240" w:lineRule="auto"/>
        <w:ind w:left="900"/>
      </w:pPr>
      <w:r w:rsidRPr="00022515">
        <w:t xml:space="preserve">There can be a gap between completing plinth and starting construction for the slabs with the permission of the Project Manager. </w:t>
      </w:r>
    </w:p>
    <w:p w14:paraId="1B0A8381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>Above rates are for site mix using concrete mixer for columns and RMC for slabs are for site mix for turnkey job including centering, rod bending and casting.</w:t>
      </w:r>
    </w:p>
    <w:p w14:paraId="7D63AC13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 xml:space="preserve">Concrete mixer, vibrators, lifts, bamboos, </w:t>
      </w:r>
      <w:proofErr w:type="gramStart"/>
      <w:r w:rsidRPr="00022515">
        <w:t>oil</w:t>
      </w:r>
      <w:proofErr w:type="gramEnd"/>
      <w:r w:rsidRPr="00022515">
        <w:t xml:space="preserve"> and all other materials to be provided by contractor at his own cost.</w:t>
      </w:r>
    </w:p>
    <w:p w14:paraId="73CD484A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proofErr w:type="gramStart"/>
      <w:r w:rsidRPr="00022515">
        <w:t>Rates  include</w:t>
      </w:r>
      <w:proofErr w:type="gramEnd"/>
      <w:r w:rsidRPr="00022515">
        <w:t xml:space="preserve"> marking charges, curing, making bunds for curing, making covering blocks, etc.</w:t>
      </w:r>
    </w:p>
    <w:p w14:paraId="255B3499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>Above rates are for works from 7 ft. to 14 ft. height for flat roofs and sloping roofs.</w:t>
      </w:r>
    </w:p>
    <w:p w14:paraId="36FD92D8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proofErr w:type="spellStart"/>
      <w:r w:rsidRPr="00022515">
        <w:t>Atleast</w:t>
      </w:r>
      <w:proofErr w:type="spellEnd"/>
      <w:r w:rsidRPr="00022515">
        <w:t xml:space="preserve"> one skilled mason to be provided by contractor.</w:t>
      </w:r>
    </w:p>
    <w:p w14:paraId="38F74A53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 xml:space="preserve">Rate shall be applicable for all Villa projects where work has not proceeded beyond the plinth beam stage as on </w:t>
      </w:r>
      <w:r>
        <w:t>01.04.2013</w:t>
      </w:r>
      <w:r w:rsidRPr="00022515">
        <w:t>.</w:t>
      </w:r>
      <w:r>
        <w:t xml:space="preserve"> </w:t>
      </w:r>
      <w:proofErr w:type="gramStart"/>
      <w:r>
        <w:t>specifically</w:t>
      </w:r>
      <w:proofErr w:type="gramEnd"/>
      <w:r>
        <w:t xml:space="preserve"> rates shall be applicable for MNM – 20 to 22, KNM – 47, 48 &amp; 61, VSC – exclude completed villas and 19, 20, 25, 26, 27, &amp; 7.</w:t>
      </w:r>
    </w:p>
    <w:p w14:paraId="01EB348A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>The details of super built-up areas for calculation of amount payable for the villa projects are as follows:</w:t>
      </w:r>
    </w:p>
    <w:p w14:paraId="374B3234" w14:textId="77777777" w:rsidR="004F7F45" w:rsidRPr="00022515" w:rsidRDefault="004F7F45" w:rsidP="004F7F45">
      <w:r w:rsidRPr="00022515">
        <w:t xml:space="preserve">SOB </w:t>
      </w:r>
      <w:r>
        <w:t xml:space="preserve">- </w:t>
      </w:r>
      <w:r w:rsidRPr="00022515">
        <w:t xml:space="preserve">Type A 1430 </w:t>
      </w:r>
      <w:proofErr w:type="spellStart"/>
      <w:r w:rsidRPr="00022515">
        <w:t>sft</w:t>
      </w:r>
      <w:proofErr w:type="spellEnd"/>
      <w:r w:rsidRPr="00022515">
        <w:t xml:space="preserve">, Type B 1650 </w:t>
      </w:r>
      <w:proofErr w:type="spellStart"/>
      <w:r w:rsidRPr="00022515">
        <w:t>sft</w:t>
      </w:r>
      <w:proofErr w:type="spellEnd"/>
      <w:r w:rsidRPr="00022515">
        <w:t xml:space="preserve">, Type C 1435 </w:t>
      </w:r>
      <w:proofErr w:type="spellStart"/>
      <w:r w:rsidRPr="00022515">
        <w:t>sft</w:t>
      </w:r>
      <w:proofErr w:type="spellEnd"/>
      <w:r w:rsidRPr="00022515">
        <w:t>.</w:t>
      </w:r>
    </w:p>
    <w:p w14:paraId="5AD1C4D7" w14:textId="77777777" w:rsidR="004F7F45" w:rsidRPr="00022515" w:rsidRDefault="004F7F45" w:rsidP="004F7F45">
      <w:r w:rsidRPr="00022515">
        <w:t>VSC</w:t>
      </w:r>
      <w:r>
        <w:t xml:space="preserve"> -</w:t>
      </w:r>
      <w:r w:rsidRPr="00022515">
        <w:t xml:space="preserve"> Type A 1620 </w:t>
      </w:r>
      <w:proofErr w:type="spellStart"/>
      <w:r w:rsidRPr="00022515">
        <w:t>sft</w:t>
      </w:r>
      <w:proofErr w:type="spellEnd"/>
      <w:r w:rsidRPr="00022515">
        <w:t xml:space="preserve">, Type B 1790 </w:t>
      </w:r>
      <w:proofErr w:type="spellStart"/>
      <w:r w:rsidRPr="00022515">
        <w:t>sft</w:t>
      </w:r>
      <w:proofErr w:type="spellEnd"/>
      <w:r w:rsidRPr="00022515">
        <w:t xml:space="preserve">, Type C 1605 </w:t>
      </w:r>
      <w:proofErr w:type="spellStart"/>
      <w:r w:rsidRPr="00022515">
        <w:t>sft</w:t>
      </w:r>
      <w:proofErr w:type="spellEnd"/>
    </w:p>
    <w:p w14:paraId="3C7955AE" w14:textId="77777777" w:rsidR="004F7F45" w:rsidRPr="00022515" w:rsidRDefault="004F7F45" w:rsidP="004F7F45">
      <w:r w:rsidRPr="00022515">
        <w:t>MNM</w:t>
      </w:r>
      <w:r>
        <w:t xml:space="preserve"> -</w:t>
      </w:r>
      <w:r w:rsidRPr="00022515">
        <w:t xml:space="preserve"> Type A &amp; B 1461 </w:t>
      </w:r>
      <w:proofErr w:type="spellStart"/>
      <w:r w:rsidRPr="00022515">
        <w:t>sft</w:t>
      </w:r>
      <w:proofErr w:type="spellEnd"/>
      <w:r w:rsidRPr="00022515">
        <w:t xml:space="preserve">, Type C 1467 </w:t>
      </w:r>
      <w:proofErr w:type="spellStart"/>
      <w:r w:rsidRPr="00022515">
        <w:t>sft</w:t>
      </w:r>
      <w:proofErr w:type="spellEnd"/>
      <w:r w:rsidRPr="00022515">
        <w:t xml:space="preserve">, Type D 1529 </w:t>
      </w:r>
      <w:proofErr w:type="spellStart"/>
      <w:r w:rsidRPr="00022515">
        <w:t>sft</w:t>
      </w:r>
      <w:proofErr w:type="spellEnd"/>
      <w:r w:rsidRPr="00022515">
        <w:t xml:space="preserve">, Type G 1694 </w:t>
      </w:r>
      <w:proofErr w:type="spellStart"/>
      <w:r w:rsidRPr="00022515">
        <w:t>sft</w:t>
      </w:r>
      <w:proofErr w:type="spellEnd"/>
      <w:r w:rsidRPr="00022515">
        <w:t xml:space="preserve">, Type H 1753 </w:t>
      </w:r>
      <w:proofErr w:type="spellStart"/>
      <w:r w:rsidRPr="00022515">
        <w:t>sft</w:t>
      </w:r>
      <w:proofErr w:type="spellEnd"/>
      <w:r w:rsidRPr="00022515">
        <w:t xml:space="preserve">, Type E 1829 </w:t>
      </w:r>
      <w:proofErr w:type="spellStart"/>
      <w:r w:rsidRPr="00022515">
        <w:t>sft</w:t>
      </w:r>
      <w:proofErr w:type="spellEnd"/>
      <w:r w:rsidRPr="00022515">
        <w:t xml:space="preserve">, Type F 1946 </w:t>
      </w:r>
      <w:proofErr w:type="spellStart"/>
      <w:r w:rsidRPr="00022515">
        <w:t>sft</w:t>
      </w:r>
      <w:proofErr w:type="spellEnd"/>
      <w:r w:rsidRPr="00022515">
        <w:t>.</w:t>
      </w:r>
    </w:p>
    <w:p w14:paraId="15D8CB6E" w14:textId="77777777" w:rsidR="004F7F45" w:rsidRPr="00022515" w:rsidRDefault="004F7F45" w:rsidP="004F7F45">
      <w:r w:rsidRPr="00022515">
        <w:t xml:space="preserve">KNM Type A 1620 </w:t>
      </w:r>
      <w:proofErr w:type="spellStart"/>
      <w:r w:rsidRPr="00022515">
        <w:t>sft</w:t>
      </w:r>
      <w:proofErr w:type="spellEnd"/>
      <w:r w:rsidRPr="00022515">
        <w:t xml:space="preserve">, Type B 1928 </w:t>
      </w:r>
      <w:proofErr w:type="spellStart"/>
      <w:r w:rsidRPr="00022515">
        <w:t>sft</w:t>
      </w:r>
      <w:proofErr w:type="spellEnd"/>
      <w:r w:rsidRPr="00022515">
        <w:t xml:space="preserve">, Type C 1605 </w:t>
      </w:r>
      <w:proofErr w:type="spellStart"/>
      <w:r w:rsidRPr="00022515">
        <w:t>sft</w:t>
      </w:r>
      <w:proofErr w:type="spellEnd"/>
      <w:r w:rsidRPr="00022515">
        <w:t xml:space="preserve"> Type D 1847 </w:t>
      </w:r>
      <w:proofErr w:type="spellStart"/>
      <w:r w:rsidRPr="00022515">
        <w:t>sft</w:t>
      </w:r>
      <w:proofErr w:type="spellEnd"/>
      <w:r w:rsidRPr="00022515">
        <w:t>.</w:t>
      </w:r>
    </w:p>
    <w:p w14:paraId="3900FEEC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>Bills can be raised in two stages namely Stage 1 after completing footings, plinth and first slab and Stage 2 – on completing all RCC works.  Stage I billing shall 55% of lumpsum rate and Stage II shall 45% of lumpsum rate.</w:t>
      </w:r>
    </w:p>
    <w:p w14:paraId="764073E8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>Rates for other works like clubhouse, water tank, etc., shall be as per 507(</w:t>
      </w:r>
      <w:r>
        <w:t>m</w:t>
      </w:r>
      <w:r w:rsidRPr="00022515">
        <w:t>)</w:t>
      </w:r>
      <w:r>
        <w:t xml:space="preserve"> dated 19.03.2013</w:t>
      </w:r>
      <w:r w:rsidRPr="00022515">
        <w:t>.</w:t>
      </w:r>
    </w:p>
    <w:p w14:paraId="21AB72C2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 xml:space="preserve">Runners under the external beams must extend by 18 inches to provide for support to the sites.  In case of default </w:t>
      </w:r>
      <w:proofErr w:type="gramStart"/>
      <w:r w:rsidRPr="00022515">
        <w:t>levy</w:t>
      </w:r>
      <w:proofErr w:type="gramEnd"/>
      <w:r w:rsidRPr="00022515">
        <w:t xml:space="preserve"> a penalty of Rs. 5,000/- per slab.</w:t>
      </w:r>
    </w:p>
    <w:p w14:paraId="495E5079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 xml:space="preserve">Bunds for curing must be made within 48 </w:t>
      </w:r>
      <w:proofErr w:type="spellStart"/>
      <w:r w:rsidRPr="00022515">
        <w:t>hrs</w:t>
      </w:r>
      <w:proofErr w:type="spellEnd"/>
      <w:r w:rsidRPr="00022515">
        <w:t xml:space="preserve"> and size of each bund should be less than 100 </w:t>
      </w:r>
      <w:proofErr w:type="spellStart"/>
      <w:r w:rsidRPr="00022515">
        <w:t>sft</w:t>
      </w:r>
      <w:proofErr w:type="spellEnd"/>
      <w:r w:rsidRPr="00022515">
        <w:t>.  For slope roof</w:t>
      </w:r>
      <w:r>
        <w:t xml:space="preserve"> and columns</w:t>
      </w:r>
      <w:r w:rsidRPr="00022515">
        <w:t xml:space="preserve"> use gunny bag</w:t>
      </w:r>
      <w:r>
        <w:t xml:space="preserve"> for curing</w:t>
      </w:r>
      <w:r w:rsidRPr="00022515">
        <w:t xml:space="preserve">. Penalty of up </w:t>
      </w:r>
      <w:proofErr w:type="gramStart"/>
      <w:r w:rsidRPr="00022515">
        <w:t xml:space="preserve">to </w:t>
      </w:r>
      <w:r>
        <w:t xml:space="preserve"> </w:t>
      </w:r>
      <w:r w:rsidRPr="00022515">
        <w:t>Rs</w:t>
      </w:r>
      <w:proofErr w:type="gramEnd"/>
      <w:r w:rsidRPr="00022515">
        <w:t>. 5,000/- can be levied in case of default.</w:t>
      </w:r>
    </w:p>
    <w:p w14:paraId="4241FD2F" w14:textId="77777777" w:rsidR="004F7F45" w:rsidRPr="0002251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 xml:space="preserve">Poor quality of work resulting in </w:t>
      </w:r>
      <w:proofErr w:type="gramStart"/>
      <w:r w:rsidRPr="00022515">
        <w:t>honey combs</w:t>
      </w:r>
      <w:proofErr w:type="gramEnd"/>
      <w:r w:rsidRPr="00022515">
        <w:t xml:space="preserve"> and or deviation in beams by more than 1” can be penalized </w:t>
      </w:r>
      <w:proofErr w:type="spellStart"/>
      <w:r w:rsidRPr="00022515">
        <w:t>upto</w:t>
      </w:r>
      <w:proofErr w:type="spellEnd"/>
      <w:r w:rsidRPr="00022515">
        <w:t xml:space="preserve"> Rs. 5,000/- per slab.</w:t>
      </w:r>
    </w:p>
    <w:p w14:paraId="789ADBFF" w14:textId="77777777" w:rsidR="004F7F4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022515">
        <w:t xml:space="preserve">Gaps must be covered using </w:t>
      </w:r>
      <w:proofErr w:type="gramStart"/>
      <w:r w:rsidRPr="00022515">
        <w:t>2 or 3 inch</w:t>
      </w:r>
      <w:proofErr w:type="gramEnd"/>
      <w:r w:rsidRPr="00022515">
        <w:t xml:space="preserve"> MS sheets.  Do not use bamboo or paper.</w:t>
      </w:r>
    </w:p>
    <w:p w14:paraId="67F6C35D" w14:textId="77777777" w:rsidR="004F7F45" w:rsidRDefault="004F7F45" w:rsidP="004F7F45">
      <w:pPr>
        <w:numPr>
          <w:ilvl w:val="0"/>
          <w:numId w:val="1"/>
        </w:numPr>
        <w:tabs>
          <w:tab w:val="clear" w:pos="540"/>
          <w:tab w:val="num" w:pos="360"/>
        </w:tabs>
        <w:spacing w:line="240" w:lineRule="auto"/>
        <w:ind w:left="360"/>
      </w:pPr>
      <w:r w:rsidRPr="00E45C0F">
        <w:rPr>
          <w:u w:val="single"/>
        </w:rPr>
        <w:lastRenderedPageBreak/>
        <w:t xml:space="preserve">As in case of civil work and other contractors, hereafter for </w:t>
      </w:r>
      <w:r>
        <w:rPr>
          <w:u w:val="single"/>
        </w:rPr>
        <w:t xml:space="preserve">RCC work of </w:t>
      </w:r>
      <w:r w:rsidRPr="00E45C0F">
        <w:rPr>
          <w:u w:val="single"/>
        </w:rPr>
        <w:t>villas where first slab has not been casted, lumpsum payment shall be made in place of weekly payment based on attendance</w:t>
      </w:r>
      <w:r>
        <w:rPr>
          <w:u w:val="single"/>
        </w:rPr>
        <w:t xml:space="preserve"> as follows:</w:t>
      </w:r>
    </w:p>
    <w:p w14:paraId="00B1BF33" w14:textId="77777777" w:rsidR="004F7F45" w:rsidRDefault="004F7F45" w:rsidP="004F7F45">
      <w:pPr>
        <w:pStyle w:val="ListParagraph"/>
        <w:numPr>
          <w:ilvl w:val="1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Advance at the time of starting work – 10%.</w:t>
      </w:r>
    </w:p>
    <w:p w14:paraId="44A23CEB" w14:textId="77777777" w:rsidR="004F7F45" w:rsidRDefault="004F7F45" w:rsidP="004F7F45">
      <w:pPr>
        <w:pStyle w:val="ListParagraph"/>
        <w:numPr>
          <w:ilvl w:val="1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completion of footings and pedestal – 10%</w:t>
      </w:r>
    </w:p>
    <w:p w14:paraId="1F07DC17" w14:textId="77777777" w:rsidR="004F7F45" w:rsidRDefault="004F7F45" w:rsidP="004F7F45">
      <w:pPr>
        <w:pStyle w:val="ListParagraph"/>
        <w:numPr>
          <w:ilvl w:val="1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completion of plinth and column 1 – 10%</w:t>
      </w:r>
    </w:p>
    <w:p w14:paraId="0B93143C" w14:textId="77777777" w:rsidR="004F7F45" w:rsidRDefault="004F7F45" w:rsidP="004F7F45">
      <w:pPr>
        <w:pStyle w:val="ListParagraph"/>
        <w:numPr>
          <w:ilvl w:val="1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completion of first slab and raising bill for 55% of total work after deducting advance – balance 25%.</w:t>
      </w:r>
    </w:p>
    <w:p w14:paraId="247BE5EA" w14:textId="77777777" w:rsidR="004F7F45" w:rsidRDefault="004F7F45" w:rsidP="004F7F45">
      <w:pPr>
        <w:pStyle w:val="ListParagraph"/>
        <w:numPr>
          <w:ilvl w:val="1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completion of column 2 – 10%</w:t>
      </w:r>
    </w:p>
    <w:p w14:paraId="40300A9D" w14:textId="77777777" w:rsidR="004F7F45" w:rsidRDefault="004F7F45" w:rsidP="004F7F45">
      <w:pPr>
        <w:pStyle w:val="ListParagraph"/>
        <w:numPr>
          <w:ilvl w:val="1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completion of second slab and raising bill for 45% of total work after deducting advance – balance 25%.</w:t>
      </w:r>
    </w:p>
    <w:p w14:paraId="0E140341" w14:textId="77777777" w:rsidR="004F7F45" w:rsidRPr="00E45C0F" w:rsidRDefault="004F7F45" w:rsidP="004F7F45">
      <w:pPr>
        <w:pStyle w:val="ListParagraph"/>
        <w:numPr>
          <w:ilvl w:val="1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VSC column 3 and slab 3 shall be paid for as per separate estimate only on completion of work after raising bill. </w:t>
      </w:r>
    </w:p>
    <w:p w14:paraId="30CD7C67" w14:textId="77777777" w:rsidR="004F7F45" w:rsidRDefault="004F7F45" w:rsidP="004F7F45">
      <w:pPr>
        <w:ind w:left="180"/>
      </w:pPr>
    </w:p>
    <w:p w14:paraId="562A4033" w14:textId="77777777" w:rsidR="004F7F45" w:rsidRPr="00022515" w:rsidRDefault="004F7F45" w:rsidP="004F7F45">
      <w:pPr>
        <w:ind w:left="180"/>
      </w:pPr>
    </w:p>
    <w:p w14:paraId="2DEDDAFE" w14:textId="77777777" w:rsidR="004F7F45" w:rsidRPr="00022515" w:rsidRDefault="004F7F45" w:rsidP="004F7F45">
      <w:pPr>
        <w:ind w:left="180"/>
      </w:pPr>
      <w:r w:rsidRPr="00022515">
        <w:t>Managing Director.</w:t>
      </w:r>
    </w:p>
    <w:p w14:paraId="5589457F" w14:textId="77777777" w:rsidR="00F05AC7" w:rsidRDefault="00F05AC7"/>
    <w:sectPr w:rsidR="00F0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167A7"/>
    <w:multiLevelType w:val="hybridMultilevel"/>
    <w:tmpl w:val="EE86125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AC4AD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B7"/>
    <w:rsid w:val="003B2BB7"/>
    <w:rsid w:val="004F7F45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EB0A9-97F7-4449-A430-AD49BFAB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F45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F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2020-07-30T10:13:00Z</cp:lastPrinted>
  <dcterms:created xsi:type="dcterms:W3CDTF">2020-07-30T10:13:00Z</dcterms:created>
  <dcterms:modified xsi:type="dcterms:W3CDTF">2020-07-30T10:13:00Z</dcterms:modified>
</cp:coreProperties>
</file>