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A210" w14:textId="77777777" w:rsidR="003950BF" w:rsidRPr="00E8030D" w:rsidRDefault="003950BF" w:rsidP="003950BF">
      <w:pPr>
        <w:spacing w:line="240" w:lineRule="auto"/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13</w:t>
      </w:r>
      <w:r w:rsidRPr="00A13E52">
        <w:rPr>
          <w:b/>
        </w:rPr>
        <w:t>(</w:t>
      </w:r>
      <w:r>
        <w:rPr>
          <w:b/>
        </w:rPr>
        <w:t>a</w:t>
      </w:r>
      <w:r w:rsidRPr="00A13E52">
        <w:rPr>
          <w:b/>
        </w:rPr>
        <w:t>)</w:t>
      </w:r>
      <w:r>
        <w:t xml:space="preserve"> – construction 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17.05.2017</w:t>
      </w:r>
    </w:p>
    <w:p w14:paraId="21FCF89B" w14:textId="77777777" w:rsidR="003950BF" w:rsidRDefault="003950BF" w:rsidP="003950BF">
      <w:pPr>
        <w:spacing w:line="240" w:lineRule="auto"/>
      </w:pPr>
    </w:p>
    <w:p w14:paraId="00DA0CE3" w14:textId="77777777" w:rsidR="003950BF" w:rsidRDefault="003950BF" w:rsidP="003950BF">
      <w:pPr>
        <w:spacing w:line="240" w:lineRule="auto"/>
        <w:ind w:left="0"/>
      </w:pPr>
      <w:r w:rsidRPr="00022515">
        <w:t xml:space="preserve">Sub.: </w:t>
      </w:r>
      <w:r>
        <w:t>G</w:t>
      </w:r>
      <w:r w:rsidRPr="00022515">
        <w:t>uideline rates for</w:t>
      </w:r>
      <w:r>
        <w:t xml:space="preserve"> earthwork,</w:t>
      </w:r>
      <w:r w:rsidRPr="00022515">
        <w:t xml:space="preserve"> centering</w:t>
      </w:r>
      <w:r>
        <w:t>,</w:t>
      </w:r>
      <w:r w:rsidRPr="00022515">
        <w:t xml:space="preserve"> rod bending</w:t>
      </w:r>
      <w:r>
        <w:t xml:space="preserve"> &amp; civil work</w:t>
      </w:r>
      <w:r w:rsidRPr="00022515">
        <w:t xml:space="preserve"> – lumpsum for villas </w:t>
      </w:r>
      <w:r>
        <w:t>at</w:t>
      </w:r>
    </w:p>
    <w:p w14:paraId="482D1D75" w14:textId="77777777" w:rsidR="003950BF" w:rsidRPr="00022515" w:rsidRDefault="003950BF" w:rsidP="003950BF">
      <w:pPr>
        <w:spacing w:line="240" w:lineRule="auto"/>
        <w:ind w:left="0"/>
      </w:pPr>
      <w:r>
        <w:t xml:space="preserve">         AGH.</w:t>
      </w:r>
    </w:p>
    <w:p w14:paraId="05CFE5CE" w14:textId="77777777" w:rsidR="003950BF" w:rsidRDefault="003950BF" w:rsidP="003950BF">
      <w:pPr>
        <w:spacing w:line="240" w:lineRule="auto"/>
        <w:ind w:left="180"/>
      </w:pPr>
    </w:p>
    <w:p w14:paraId="13AFB5AE" w14:textId="77777777" w:rsidR="003950BF" w:rsidRPr="00A161F2" w:rsidRDefault="003950BF" w:rsidP="003950BF">
      <w:pPr>
        <w:spacing w:line="240" w:lineRule="auto"/>
        <w:ind w:left="180"/>
        <w:rPr>
          <w:u w:val="single"/>
        </w:rPr>
      </w:pPr>
      <w:r>
        <w:rPr>
          <w:u w:val="single"/>
        </w:rPr>
        <w:t>Guideline rates for RCC works</w:t>
      </w:r>
    </w:p>
    <w:p w14:paraId="56D97D45" w14:textId="77777777" w:rsidR="003950BF" w:rsidRPr="00022515" w:rsidRDefault="003950BF" w:rsidP="003950BF">
      <w:pPr>
        <w:numPr>
          <w:ilvl w:val="0"/>
          <w:numId w:val="2"/>
        </w:numPr>
        <w:spacing w:line="240" w:lineRule="auto"/>
      </w:pPr>
      <w:r w:rsidRPr="00022515">
        <w:t xml:space="preserve">Lumpsum rate for turnkey RCC work including centering and rod bending for </w:t>
      </w:r>
      <w:r>
        <w:t>villas</w:t>
      </w:r>
      <w:r w:rsidRPr="00022515">
        <w:t xml:space="preserve"> shall be Rs. </w:t>
      </w:r>
      <w:r>
        <w:t>75/-</w:t>
      </w:r>
      <w:r w:rsidRPr="00022515">
        <w:t xml:space="preserve"> per </w:t>
      </w:r>
      <w:proofErr w:type="spellStart"/>
      <w:r w:rsidRPr="00022515">
        <w:t>sft</w:t>
      </w:r>
      <w:proofErr w:type="spellEnd"/>
      <w:r w:rsidRPr="00022515">
        <w:t xml:space="preserve"> on the super built-up area mentioned in the brochure.</w:t>
      </w:r>
    </w:p>
    <w:p w14:paraId="70A7AE95" w14:textId="77777777" w:rsidR="003950BF" w:rsidRDefault="003950BF" w:rsidP="003950BF">
      <w:pPr>
        <w:numPr>
          <w:ilvl w:val="0"/>
          <w:numId w:val="2"/>
        </w:numPr>
        <w:spacing w:line="240" w:lineRule="auto"/>
      </w:pPr>
      <w:r w:rsidRPr="00022515">
        <w:t>The guideline schedule of work shall be as follows:</w:t>
      </w:r>
    </w:p>
    <w:p w14:paraId="6BE18742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Excavation &amp; PCC – 3 weeks.</w:t>
      </w:r>
    </w:p>
    <w:p w14:paraId="460ED601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Footings + pedestal + plinth + PCC – 3 weeks</w:t>
      </w:r>
    </w:p>
    <w:p w14:paraId="4234B4E9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 xml:space="preserve">Slab 1  - 4 weeks </w:t>
      </w:r>
    </w:p>
    <w:p w14:paraId="7B0D3298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Slab 2 – 2 weeks (for duplex villas slab 2 – 4 weeks, slab 3 – 2 weeks)</w:t>
      </w:r>
    </w:p>
    <w:p w14:paraId="445AFD43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Total – 12 + 1 week grace  = 13 weeks (+ 4 week for duplex villas)</w:t>
      </w:r>
    </w:p>
    <w:p w14:paraId="71B2B98C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Brick work – 3 weeks (+ 1 week for duplex villas)</w:t>
      </w:r>
    </w:p>
    <w:p w14:paraId="70851143" w14:textId="77777777" w:rsidR="003950BF" w:rsidRDefault="003950BF" w:rsidP="003950BF">
      <w:pPr>
        <w:numPr>
          <w:ilvl w:val="1"/>
          <w:numId w:val="3"/>
        </w:numPr>
        <w:spacing w:line="240" w:lineRule="auto"/>
      </w:pPr>
      <w:r>
        <w:t>Plastering – 3 weeks (+ 1 week for duplex villas)</w:t>
      </w:r>
    </w:p>
    <w:p w14:paraId="3BF43CA3" w14:textId="77777777" w:rsidR="003950BF" w:rsidRPr="00022515" w:rsidRDefault="003950BF" w:rsidP="003950BF">
      <w:pPr>
        <w:numPr>
          <w:ilvl w:val="1"/>
          <w:numId w:val="3"/>
        </w:numPr>
        <w:spacing w:line="240" w:lineRule="auto"/>
      </w:pPr>
      <w:r>
        <w:t>Total – 6 weeks + 1 week grace = 7 weeks (Add 2 weeks for duplex villas)</w:t>
      </w:r>
    </w:p>
    <w:p w14:paraId="23C71873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Above rates are for site mix using concrete mixer for columns and RMC</w:t>
      </w:r>
      <w:r>
        <w:t>/</w:t>
      </w:r>
      <w:r w:rsidRPr="00022515">
        <w:t xml:space="preserve"> site mix for slabs  for turnkey job including centering, rod bending and casting.</w:t>
      </w:r>
    </w:p>
    <w:p w14:paraId="2801C873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Concrete mixer, vibrators, lifts, bamboos, oil and all other materials to be provided by contractor at his own cost.</w:t>
      </w:r>
    </w:p>
    <w:p w14:paraId="6773A0FE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Rates  include marking charges, curing, making bunds for curing, making covering blocks, etc.</w:t>
      </w:r>
    </w:p>
    <w:p w14:paraId="59F41979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proofErr w:type="spellStart"/>
      <w:r w:rsidRPr="00022515">
        <w:t>Atleast</w:t>
      </w:r>
      <w:proofErr w:type="spellEnd"/>
      <w:r w:rsidRPr="00022515">
        <w:t xml:space="preserve"> one skilled mason to be provided by contractor.</w:t>
      </w:r>
    </w:p>
    <w:p w14:paraId="048211B3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The details of super built-up areas for calculation of amount payable for the villa projects are as follows:</w:t>
      </w:r>
    </w:p>
    <w:p w14:paraId="0CEDB23C" w14:textId="77777777" w:rsidR="003950BF" w:rsidRDefault="003950BF" w:rsidP="003950BF">
      <w:pPr>
        <w:spacing w:line="240" w:lineRule="auto"/>
      </w:pPr>
      <w:r>
        <w:t xml:space="preserve">AGH – A1 – Single – 1,250 </w:t>
      </w:r>
      <w:proofErr w:type="spellStart"/>
      <w:r>
        <w:t>sft</w:t>
      </w:r>
      <w:proofErr w:type="spellEnd"/>
      <w:r>
        <w:t>.</w:t>
      </w:r>
    </w:p>
    <w:p w14:paraId="15DB4FBD" w14:textId="77777777" w:rsidR="003950BF" w:rsidRDefault="003950BF" w:rsidP="003950BF">
      <w:pPr>
        <w:spacing w:line="240" w:lineRule="auto"/>
      </w:pPr>
      <w:r>
        <w:t xml:space="preserve">AGH – A2 – Single – 1,250 </w:t>
      </w:r>
      <w:proofErr w:type="spellStart"/>
      <w:r>
        <w:t>sft</w:t>
      </w:r>
      <w:proofErr w:type="spellEnd"/>
    </w:p>
    <w:p w14:paraId="198EB205" w14:textId="77777777" w:rsidR="003950BF" w:rsidRDefault="003950BF" w:rsidP="003950BF">
      <w:pPr>
        <w:spacing w:line="240" w:lineRule="auto"/>
      </w:pPr>
      <w:r>
        <w:t xml:space="preserve">AGH – A1 – Double/duplex  – 2,340 </w:t>
      </w:r>
      <w:proofErr w:type="spellStart"/>
      <w:r>
        <w:t>sft</w:t>
      </w:r>
      <w:proofErr w:type="spellEnd"/>
      <w:r>
        <w:t xml:space="preserve"> </w:t>
      </w:r>
    </w:p>
    <w:p w14:paraId="125031AD" w14:textId="77777777" w:rsidR="003950BF" w:rsidRPr="00022515" w:rsidRDefault="003950BF" w:rsidP="003950BF">
      <w:pPr>
        <w:spacing w:line="240" w:lineRule="auto"/>
      </w:pPr>
      <w:r>
        <w:t xml:space="preserve">AGH – A2 – Double/duplex – 2,340 </w:t>
      </w:r>
      <w:proofErr w:type="spellStart"/>
      <w:r>
        <w:t>sft</w:t>
      </w:r>
      <w:proofErr w:type="spellEnd"/>
    </w:p>
    <w:p w14:paraId="298E74BE" w14:textId="77777777" w:rsidR="003950BF" w:rsidRPr="00D5698E" w:rsidRDefault="003950BF" w:rsidP="003950BF">
      <w:pPr>
        <w:spacing w:line="240" w:lineRule="auto"/>
        <w:ind w:left="0"/>
        <w:rPr>
          <w:sz w:val="4"/>
        </w:rPr>
      </w:pPr>
      <w:r>
        <w:tab/>
      </w:r>
    </w:p>
    <w:p w14:paraId="59216E05" w14:textId="77777777" w:rsidR="003950BF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Bills can be raised in two</w:t>
      </w:r>
      <w:r>
        <w:t xml:space="preserve">/three </w:t>
      </w:r>
      <w:r w:rsidRPr="00022515">
        <w:t xml:space="preserve">stages </w:t>
      </w:r>
      <w:r>
        <w:t>as follows:</w:t>
      </w:r>
    </w:p>
    <w:p w14:paraId="72869D37" w14:textId="77777777" w:rsidR="003950BF" w:rsidRDefault="003950BF" w:rsidP="003950BF">
      <w:pPr>
        <w:pStyle w:val="ListParagraph"/>
        <w:numPr>
          <w:ilvl w:val="1"/>
          <w:numId w:val="2"/>
        </w:numPr>
        <w:tabs>
          <w:tab w:val="clear" w:pos="900"/>
          <w:tab w:val="num" w:pos="1080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5698E">
        <w:rPr>
          <w:rFonts w:ascii="Times New Roman" w:hAnsi="Times New Roman"/>
          <w:sz w:val="24"/>
          <w:szCs w:val="24"/>
        </w:rPr>
        <w:t xml:space="preserve">Single floor villas – </w:t>
      </w:r>
    </w:p>
    <w:p w14:paraId="314A3A4C" w14:textId="77777777" w:rsidR="003950BF" w:rsidRDefault="003950BF" w:rsidP="003950BF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Stage 1  - 35% on completion of footings, pedestal, plinth, PCC &amp; Col. 1.</w:t>
      </w:r>
    </w:p>
    <w:p w14:paraId="07AB3E12" w14:textId="77777777" w:rsidR="003950BF" w:rsidRPr="00D5698E" w:rsidRDefault="003950BF" w:rsidP="003950BF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Stage II – 65% on completion of slab I &amp; II</w:t>
      </w:r>
    </w:p>
    <w:p w14:paraId="4F78DE74" w14:textId="77777777" w:rsidR="003950BF" w:rsidRDefault="003950BF" w:rsidP="003950BF">
      <w:pPr>
        <w:numPr>
          <w:ilvl w:val="1"/>
          <w:numId w:val="2"/>
        </w:numPr>
        <w:tabs>
          <w:tab w:val="clear" w:pos="900"/>
          <w:tab w:val="num" w:pos="1080"/>
        </w:tabs>
        <w:spacing w:line="240" w:lineRule="auto"/>
        <w:ind w:left="1080"/>
      </w:pPr>
      <w:r>
        <w:t xml:space="preserve">Double floor villas – </w:t>
      </w:r>
    </w:p>
    <w:p w14:paraId="6AFADE88" w14:textId="77777777" w:rsidR="003950BF" w:rsidRDefault="003950BF" w:rsidP="003950BF">
      <w:pPr>
        <w:pStyle w:val="ListParagraph"/>
        <w:spacing w:line="240" w:lineRule="auto"/>
        <w:ind w:left="90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Stage 1  - 25% on completion of footings, pedestal, plinth, PCC &amp; Col. 1.</w:t>
      </w:r>
    </w:p>
    <w:p w14:paraId="3537F1CE" w14:textId="77777777" w:rsidR="003950BF" w:rsidRDefault="003950BF" w:rsidP="003950BF">
      <w:pPr>
        <w:pStyle w:val="ListParagraph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Stage II – 35% on completion of slab I.</w:t>
      </w:r>
    </w:p>
    <w:p w14:paraId="3E4442FA" w14:textId="77777777" w:rsidR="003950BF" w:rsidRPr="00D5698E" w:rsidRDefault="003950BF" w:rsidP="003950BF">
      <w:pPr>
        <w:pStyle w:val="ListParagraph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Stage III – 40% on completion of slab II &amp; III.</w:t>
      </w:r>
    </w:p>
    <w:p w14:paraId="5BCA542D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 xml:space="preserve">Rates for other works like clubhouse, water tank, etc., shall be as per </w:t>
      </w:r>
      <w:r>
        <w:t>801(b</w:t>
      </w:r>
      <w:r w:rsidRPr="00022515">
        <w:t>)</w:t>
      </w:r>
      <w:r>
        <w:t xml:space="preserve"> dated 13.02.16</w:t>
      </w:r>
      <w:r w:rsidRPr="00022515">
        <w:t>.</w:t>
      </w:r>
    </w:p>
    <w:p w14:paraId="7C0C16A3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Runners under the external beams must extend by 18 inches to provide for support to the sites.  In case of default levy a penalty of Rs. 5,000/- per slab.</w:t>
      </w:r>
    </w:p>
    <w:p w14:paraId="76CD78AD" w14:textId="77777777" w:rsidR="003950BF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 xml:space="preserve">Bunds for curing must be made within 48 </w:t>
      </w:r>
      <w:proofErr w:type="spellStart"/>
      <w:r w:rsidRPr="00022515">
        <w:t>hrs</w:t>
      </w:r>
      <w:proofErr w:type="spellEnd"/>
      <w:r w:rsidRPr="00022515">
        <w:t xml:space="preserve"> and size of each bund should be less than 100 </w:t>
      </w:r>
      <w:proofErr w:type="spellStart"/>
      <w:r w:rsidRPr="00022515">
        <w:t>sft</w:t>
      </w:r>
      <w:proofErr w:type="spellEnd"/>
      <w:r w:rsidRPr="00022515">
        <w:t>.  For slope roof</w:t>
      </w:r>
      <w:r>
        <w:t xml:space="preserve"> and columns</w:t>
      </w:r>
      <w:r w:rsidRPr="00022515">
        <w:t xml:space="preserve"> use gunny bag</w:t>
      </w:r>
      <w:r>
        <w:t xml:space="preserve"> for curing</w:t>
      </w:r>
      <w:r w:rsidRPr="00022515">
        <w:t xml:space="preserve">. Penalty of up to </w:t>
      </w:r>
      <w:r>
        <w:t xml:space="preserve"> </w:t>
      </w:r>
      <w:r w:rsidRPr="00022515">
        <w:t>Rs. 5,000/- can be levied in case of default.</w:t>
      </w:r>
    </w:p>
    <w:p w14:paraId="439B82A7" w14:textId="77777777" w:rsidR="003950BF" w:rsidRDefault="003950BF" w:rsidP="003950BF">
      <w:pPr>
        <w:spacing w:line="240" w:lineRule="auto"/>
        <w:ind w:left="0"/>
      </w:pPr>
      <w:r>
        <w:br w:type="page"/>
      </w:r>
    </w:p>
    <w:p w14:paraId="3FF0199C" w14:textId="77777777" w:rsidR="003950BF" w:rsidRPr="00022515" w:rsidRDefault="003950BF" w:rsidP="003950BF">
      <w:pPr>
        <w:spacing w:line="240" w:lineRule="auto"/>
      </w:pPr>
    </w:p>
    <w:p w14:paraId="79134072" w14:textId="77777777" w:rsidR="003950BF" w:rsidRPr="00022515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 xml:space="preserve">Poor quality of work resulting in honey combs and or deviation in beams by more than 1” can be penalized </w:t>
      </w:r>
      <w:proofErr w:type="spellStart"/>
      <w:r w:rsidRPr="00022515">
        <w:t>upto</w:t>
      </w:r>
      <w:proofErr w:type="spellEnd"/>
      <w:r w:rsidRPr="00022515">
        <w:t xml:space="preserve"> Rs. 5,000/- per slab.</w:t>
      </w:r>
    </w:p>
    <w:p w14:paraId="729C6041" w14:textId="77777777" w:rsidR="003950BF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022515">
        <w:t>Gaps must be covered using 2 or 3 inch MS sheets.  Do not use bamboo or paper.</w:t>
      </w:r>
    </w:p>
    <w:p w14:paraId="74258DC7" w14:textId="77777777" w:rsidR="003950BF" w:rsidRPr="00293338" w:rsidRDefault="003950BF" w:rsidP="003950BF">
      <w:pPr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</w:pPr>
      <w:r w:rsidRPr="00293338">
        <w:t>Lumpsum payment shall be made in place of weekly payment as follows:</w:t>
      </w:r>
    </w:p>
    <w:p w14:paraId="5FBD0859" w14:textId="77777777" w:rsidR="003950BF" w:rsidRDefault="003950BF" w:rsidP="003950BF">
      <w:pPr>
        <w:pStyle w:val="ListParagraph"/>
        <w:numPr>
          <w:ilvl w:val="1"/>
          <w:numId w:val="2"/>
        </w:numPr>
        <w:tabs>
          <w:tab w:val="clear" w:pos="900"/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 at the time of starting work – 15%.</w:t>
      </w:r>
    </w:p>
    <w:p w14:paraId="71F61E50" w14:textId="77777777" w:rsidR="003950BF" w:rsidRDefault="003950BF" w:rsidP="003950BF">
      <w:pPr>
        <w:pStyle w:val="ListParagraph"/>
        <w:numPr>
          <w:ilvl w:val="1"/>
          <w:numId w:val="2"/>
        </w:numPr>
        <w:tabs>
          <w:tab w:val="clear" w:pos="900"/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footings and pedestal – 10%</w:t>
      </w:r>
    </w:p>
    <w:p w14:paraId="09F5D70E" w14:textId="77777777" w:rsidR="003950BF" w:rsidRDefault="003950BF" w:rsidP="003950BF">
      <w:pPr>
        <w:pStyle w:val="ListParagraph"/>
        <w:numPr>
          <w:ilvl w:val="1"/>
          <w:numId w:val="2"/>
        </w:numPr>
        <w:tabs>
          <w:tab w:val="clear" w:pos="900"/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plinth and column 1 – 10%</w:t>
      </w:r>
    </w:p>
    <w:p w14:paraId="3747EE75" w14:textId="77777777" w:rsidR="003950BF" w:rsidRPr="00E45C0F" w:rsidRDefault="003950BF" w:rsidP="003950BF">
      <w:pPr>
        <w:pStyle w:val="ListParagraph"/>
        <w:numPr>
          <w:ilvl w:val="1"/>
          <w:numId w:val="2"/>
        </w:numPr>
        <w:tabs>
          <w:tab w:val="clear" w:pos="900"/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on raising bill and pay only credit balance amount.</w:t>
      </w:r>
    </w:p>
    <w:p w14:paraId="5D93C516" w14:textId="77777777" w:rsidR="003950BF" w:rsidRDefault="003950BF" w:rsidP="003950BF">
      <w:pPr>
        <w:spacing w:line="240" w:lineRule="auto"/>
        <w:ind w:left="180"/>
      </w:pPr>
    </w:p>
    <w:p w14:paraId="08FCBAE2" w14:textId="77777777" w:rsidR="003950BF" w:rsidRPr="00E7281E" w:rsidRDefault="003950BF" w:rsidP="003950BF">
      <w:pPr>
        <w:spacing w:line="240" w:lineRule="auto"/>
        <w:ind w:left="180"/>
        <w:rPr>
          <w:u w:val="single"/>
        </w:rPr>
      </w:pPr>
      <w:r w:rsidRPr="00E7281E">
        <w:rPr>
          <w:u w:val="single"/>
        </w:rPr>
        <w:t>Guideline rates for civil work:</w:t>
      </w:r>
    </w:p>
    <w:p w14:paraId="629A1411" w14:textId="77777777" w:rsidR="003950BF" w:rsidRPr="00E7281E" w:rsidRDefault="003950BF" w:rsidP="003950BF">
      <w:pPr>
        <w:spacing w:line="240" w:lineRule="auto"/>
        <w:ind w:left="180"/>
        <w:rPr>
          <w:sz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940"/>
        <w:gridCol w:w="1350"/>
        <w:gridCol w:w="1823"/>
      </w:tblGrid>
      <w:tr w:rsidR="003950BF" w:rsidRPr="00507F65" w14:paraId="10177B64" w14:textId="77777777" w:rsidTr="00763240">
        <w:tc>
          <w:tcPr>
            <w:tcW w:w="810" w:type="dxa"/>
          </w:tcPr>
          <w:p w14:paraId="4C00B135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S. No.</w:t>
            </w:r>
          </w:p>
        </w:tc>
        <w:tc>
          <w:tcPr>
            <w:tcW w:w="5940" w:type="dxa"/>
          </w:tcPr>
          <w:p w14:paraId="519B20B5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Description</w:t>
            </w:r>
          </w:p>
        </w:tc>
        <w:tc>
          <w:tcPr>
            <w:tcW w:w="1350" w:type="dxa"/>
          </w:tcPr>
          <w:p w14:paraId="4742B385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Rate (Rs.)</w:t>
            </w:r>
          </w:p>
        </w:tc>
        <w:tc>
          <w:tcPr>
            <w:tcW w:w="1823" w:type="dxa"/>
          </w:tcPr>
          <w:p w14:paraId="64EDC124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Units</w:t>
            </w:r>
          </w:p>
        </w:tc>
      </w:tr>
      <w:tr w:rsidR="003950BF" w:rsidRPr="00507F65" w14:paraId="2610C7C2" w14:textId="77777777" w:rsidTr="00763240">
        <w:tc>
          <w:tcPr>
            <w:tcW w:w="810" w:type="dxa"/>
          </w:tcPr>
          <w:p w14:paraId="6FE561B9" w14:textId="77777777" w:rsidR="003950BF" w:rsidRPr="00507F65" w:rsidRDefault="003950BF" w:rsidP="00763240">
            <w:pPr>
              <w:spacing w:line="240" w:lineRule="auto"/>
              <w:ind w:left="-32" w:right="-18"/>
            </w:pPr>
            <w:r>
              <w:t>15.</w:t>
            </w:r>
          </w:p>
        </w:tc>
        <w:tc>
          <w:tcPr>
            <w:tcW w:w="5940" w:type="dxa"/>
          </w:tcPr>
          <w:p w14:paraId="4DE2F177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Bungalows / villas / row houses : turnkey civil work charges including brick work, plastering, shelves / lofts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150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. Elevation, scaffolding tying and removing and screening, curing, lifting charges, floor chipping, </w:t>
            </w:r>
            <w:proofErr w:type="spellStart"/>
            <w:r w:rsidRPr="00507F65">
              <w:t>batana</w:t>
            </w:r>
            <w:proofErr w:type="spellEnd"/>
            <w:r w:rsidRPr="00507F65">
              <w:t xml:space="preserve"> shifting for flooring, skirting plastering holes closing, water tank plastering, railing fixing, doors frames, ventilators and template fixing, three</w:t>
            </w:r>
            <w:r>
              <w:t>/four</w:t>
            </w:r>
            <w:r w:rsidRPr="00507F65">
              <w:t xml:space="preserve"> sides compound wall, gate fixing , etc.</w:t>
            </w:r>
          </w:p>
        </w:tc>
        <w:tc>
          <w:tcPr>
            <w:tcW w:w="1350" w:type="dxa"/>
          </w:tcPr>
          <w:p w14:paraId="1656346E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04261D68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4542D029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Rs. 95/- </w:t>
            </w:r>
          </w:p>
        </w:tc>
        <w:tc>
          <w:tcPr>
            <w:tcW w:w="1823" w:type="dxa"/>
          </w:tcPr>
          <w:p w14:paraId="2F388345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. of salable area as mentioned in brochure </w:t>
            </w:r>
          </w:p>
        </w:tc>
      </w:tr>
      <w:tr w:rsidR="003950BF" w:rsidRPr="00507F65" w14:paraId="4EAA840E" w14:textId="77777777" w:rsidTr="00763240">
        <w:tc>
          <w:tcPr>
            <w:tcW w:w="810" w:type="dxa"/>
          </w:tcPr>
          <w:p w14:paraId="6CCC2136" w14:textId="77777777" w:rsidR="003950BF" w:rsidRPr="00507F65" w:rsidRDefault="003950BF" w:rsidP="00763240">
            <w:pPr>
              <w:spacing w:line="240" w:lineRule="auto"/>
              <w:ind w:left="-32" w:right="-18"/>
            </w:pPr>
            <w:r>
              <w:t>16.</w:t>
            </w:r>
          </w:p>
        </w:tc>
        <w:tc>
          <w:tcPr>
            <w:tcW w:w="5940" w:type="dxa"/>
          </w:tcPr>
          <w:p w14:paraId="6E22F63F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Bill is to be raised in 5 stages:</w:t>
            </w:r>
          </w:p>
          <w:p w14:paraId="4E4DC2CD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Stage A: On completing of brick work &amp; compound wall</w:t>
            </w:r>
          </w:p>
          <w:p w14:paraId="18370C50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Stage B: On completing 2 coats of internal plastering,</w:t>
            </w:r>
          </w:p>
          <w:p w14:paraId="12E02ABD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Stage C: On completion external plastering, elevation works &amp; compound wall plastering.</w:t>
            </w:r>
          </w:p>
          <w:p w14:paraId="3CD447B0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Stage D: Holes closing, floor chipping, dust shifting, PCC for portico, brick work for garden, wash area etc., </w:t>
            </w:r>
          </w:p>
          <w:p w14:paraId="36CEF92A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Stage E: On completion of stage III works like flooring, skirting, first coat of paint, bathroom tiles, doors, windows, etc.</w:t>
            </w:r>
          </w:p>
        </w:tc>
        <w:tc>
          <w:tcPr>
            <w:tcW w:w="1350" w:type="dxa"/>
          </w:tcPr>
          <w:p w14:paraId="3D398C03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63BD1B11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Rs. 35/-</w:t>
            </w:r>
          </w:p>
          <w:p w14:paraId="68C43C0E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Rs. 22/-</w:t>
            </w:r>
          </w:p>
          <w:p w14:paraId="4B40DFF8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Rs. 23/-</w:t>
            </w:r>
          </w:p>
          <w:p w14:paraId="12DD02BD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43BED7BD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Rs. 8/-</w:t>
            </w:r>
          </w:p>
          <w:p w14:paraId="0B6747A7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14348AEB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>Rs. 7/-</w:t>
            </w:r>
          </w:p>
        </w:tc>
        <w:tc>
          <w:tcPr>
            <w:tcW w:w="1823" w:type="dxa"/>
          </w:tcPr>
          <w:p w14:paraId="3EC20428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34264182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3AABDCF0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  <w:p w14:paraId="6E47AC51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</w:p>
        </w:tc>
      </w:tr>
      <w:tr w:rsidR="003950BF" w:rsidRPr="00507F65" w14:paraId="1804D92F" w14:textId="77777777" w:rsidTr="00763240">
        <w:tc>
          <w:tcPr>
            <w:tcW w:w="810" w:type="dxa"/>
          </w:tcPr>
          <w:p w14:paraId="7E98E4D3" w14:textId="77777777" w:rsidR="003950BF" w:rsidRPr="00507F65" w:rsidRDefault="003950BF" w:rsidP="00763240">
            <w:pPr>
              <w:spacing w:line="240" w:lineRule="auto"/>
              <w:ind w:left="-32" w:right="-18"/>
            </w:pPr>
            <w:r>
              <w:t>17.</w:t>
            </w:r>
          </w:p>
        </w:tc>
        <w:tc>
          <w:tcPr>
            <w:tcW w:w="5940" w:type="dxa"/>
          </w:tcPr>
          <w:p w14:paraId="4A8F6764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Project Managers are advised to pay an advance of Rs. 5/- 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upon starting the work and thereafter an additional advance of Rs. 5/- 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for two more weeks, provided progress of work is steady. Total advance Rs. 15/- 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. </w:t>
            </w:r>
          </w:p>
          <w:p w14:paraId="7A7E412A" w14:textId="77777777" w:rsidR="003950BF" w:rsidRPr="00507F65" w:rsidRDefault="003950BF" w:rsidP="00763240">
            <w:pPr>
              <w:spacing w:line="240" w:lineRule="auto"/>
              <w:ind w:left="-32" w:right="-18"/>
            </w:pPr>
            <w:r w:rsidRPr="00507F65">
              <w:t xml:space="preserve">Thereafter, attendance to be recorded but payment to be made strictly on progress of work. At end of each stage bills may be made and payment released. Deduct the advance paid @ Rs. 5/- 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for each of the first 3 stages. Vouchers for payment can be sent on Saturday along with bills.</w:t>
            </w:r>
          </w:p>
        </w:tc>
        <w:tc>
          <w:tcPr>
            <w:tcW w:w="1350" w:type="dxa"/>
          </w:tcPr>
          <w:p w14:paraId="5896E04B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</w:tc>
        <w:tc>
          <w:tcPr>
            <w:tcW w:w="1823" w:type="dxa"/>
          </w:tcPr>
          <w:p w14:paraId="2F2776C9" w14:textId="77777777" w:rsidR="003950BF" w:rsidRPr="00507F65" w:rsidRDefault="003950BF" w:rsidP="00763240">
            <w:pPr>
              <w:spacing w:line="240" w:lineRule="auto"/>
              <w:ind w:left="-32" w:right="-18"/>
            </w:pPr>
          </w:p>
        </w:tc>
      </w:tr>
    </w:tbl>
    <w:p w14:paraId="0D0CA397" w14:textId="77777777" w:rsidR="003950BF" w:rsidRDefault="003950BF" w:rsidP="003950BF">
      <w:pPr>
        <w:spacing w:line="240" w:lineRule="auto"/>
        <w:ind w:left="0"/>
      </w:pPr>
    </w:p>
    <w:p w14:paraId="38EC7E38" w14:textId="77777777" w:rsidR="003950BF" w:rsidRPr="00507F65" w:rsidRDefault="003950BF" w:rsidP="003950BF">
      <w:pPr>
        <w:spacing w:line="240" w:lineRule="auto"/>
        <w:ind w:left="0"/>
      </w:pPr>
      <w:r>
        <w:t xml:space="preserve">18. </w:t>
      </w:r>
      <w:r w:rsidRPr="00507F65">
        <w:t xml:space="preserve">Notes: </w:t>
      </w:r>
    </w:p>
    <w:p w14:paraId="63B3042E" w14:textId="77777777" w:rsidR="003950BF" w:rsidRPr="00E7281E" w:rsidRDefault="003950BF" w:rsidP="003950B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81E">
        <w:rPr>
          <w:rFonts w:ascii="Times New Roman" w:hAnsi="Times New Roman"/>
          <w:sz w:val="24"/>
          <w:szCs w:val="24"/>
        </w:rPr>
        <w:t xml:space="preserve">All </w:t>
      </w:r>
      <w:proofErr w:type="spellStart"/>
      <w:r w:rsidRPr="00E7281E">
        <w:rPr>
          <w:rFonts w:ascii="Times New Roman" w:hAnsi="Times New Roman"/>
          <w:sz w:val="24"/>
          <w:szCs w:val="24"/>
        </w:rPr>
        <w:t>labour</w:t>
      </w:r>
      <w:proofErr w:type="spellEnd"/>
      <w:r w:rsidRPr="00E7281E">
        <w:rPr>
          <w:rFonts w:ascii="Times New Roman" w:hAnsi="Times New Roman"/>
          <w:sz w:val="24"/>
          <w:szCs w:val="24"/>
        </w:rPr>
        <w:t xml:space="preserve"> and equipment including cent</w:t>
      </w:r>
      <w:r>
        <w:rPr>
          <w:rFonts w:ascii="Times New Roman" w:hAnsi="Times New Roman"/>
          <w:sz w:val="24"/>
          <w:szCs w:val="24"/>
        </w:rPr>
        <w:t>e</w:t>
      </w:r>
      <w:r w:rsidRPr="00E7281E">
        <w:rPr>
          <w:rFonts w:ascii="Times New Roman" w:hAnsi="Times New Roman"/>
          <w:sz w:val="24"/>
          <w:szCs w:val="24"/>
        </w:rPr>
        <w:t>ring for chajas, lofts, platforms, etc.,  to be provided by contractor.</w:t>
      </w:r>
    </w:p>
    <w:p w14:paraId="65B450BE" w14:textId="77777777" w:rsidR="003950BF" w:rsidRPr="00E7281E" w:rsidRDefault="003950BF" w:rsidP="003950B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81E">
        <w:rPr>
          <w:rFonts w:ascii="Times New Roman" w:hAnsi="Times New Roman"/>
          <w:sz w:val="24"/>
          <w:szCs w:val="24"/>
        </w:rPr>
        <w:t>The above rates include hacking charges.</w:t>
      </w:r>
    </w:p>
    <w:p w14:paraId="518A88C7" w14:textId="77777777" w:rsidR="003950BF" w:rsidRPr="00E7281E" w:rsidRDefault="003950BF" w:rsidP="003950B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81E">
        <w:rPr>
          <w:rFonts w:ascii="Times New Roman" w:hAnsi="Times New Roman"/>
          <w:sz w:val="24"/>
          <w:szCs w:val="24"/>
        </w:rPr>
        <w:lastRenderedPageBreak/>
        <w:t>If charges for hacking, tying, removing, scaffolding, chipping, shifting mortar for flooring</w:t>
      </w:r>
      <w:r>
        <w:rPr>
          <w:rFonts w:ascii="Times New Roman" w:hAnsi="Times New Roman"/>
          <w:sz w:val="24"/>
          <w:szCs w:val="24"/>
        </w:rPr>
        <w:t>,</w:t>
      </w:r>
      <w:r w:rsidRPr="00E72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7281E">
        <w:rPr>
          <w:rFonts w:ascii="Times New Roman" w:hAnsi="Times New Roman"/>
          <w:sz w:val="24"/>
          <w:szCs w:val="24"/>
        </w:rPr>
        <w:t>tc., are paid to other contractors, ensure that these payments are either debited to the contractors account or the bill amount is appropriately reduce.</w:t>
      </w:r>
    </w:p>
    <w:p w14:paraId="4AAE0885" w14:textId="77777777" w:rsidR="003950BF" w:rsidRDefault="003950BF" w:rsidP="003950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81E">
        <w:rPr>
          <w:rFonts w:ascii="Times New Roman" w:hAnsi="Times New Roman"/>
          <w:sz w:val="24"/>
          <w:szCs w:val="24"/>
        </w:rPr>
        <w:t>Rates applicable for all villa projects of individual villas where brick work has not been completed</w:t>
      </w:r>
      <w:r w:rsidRPr="00507F65">
        <w:rPr>
          <w:rFonts w:ascii="Times New Roman" w:hAnsi="Times New Roman"/>
          <w:sz w:val="24"/>
          <w:szCs w:val="24"/>
        </w:rPr>
        <w:t>.</w:t>
      </w:r>
    </w:p>
    <w:p w14:paraId="1189A212" w14:textId="77777777" w:rsidR="003950BF" w:rsidRPr="00507F65" w:rsidRDefault="003950BF" w:rsidP="003950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Dust shifting, site clearing if done by other contractor must be debited to civil contractor.</w:t>
      </w:r>
    </w:p>
    <w:p w14:paraId="7C1FA0D5" w14:textId="77777777" w:rsidR="003950BF" w:rsidRDefault="003950BF" w:rsidP="003950BF">
      <w:pPr>
        <w:spacing w:line="240" w:lineRule="auto"/>
        <w:ind w:left="180"/>
      </w:pPr>
    </w:p>
    <w:p w14:paraId="646A0642" w14:textId="77777777" w:rsidR="003950BF" w:rsidRDefault="003950BF" w:rsidP="003950BF">
      <w:pPr>
        <w:spacing w:line="240" w:lineRule="auto"/>
        <w:ind w:left="180"/>
      </w:pPr>
      <w:r w:rsidRPr="00A161F2">
        <w:rPr>
          <w:u w:val="single"/>
        </w:rPr>
        <w:t>Earth work</w:t>
      </w:r>
      <w:r>
        <w:t>:</w:t>
      </w:r>
    </w:p>
    <w:p w14:paraId="527F0DFB" w14:textId="77777777" w:rsidR="003950BF" w:rsidRPr="00B16520" w:rsidRDefault="003950BF" w:rsidP="003950BF">
      <w:pPr>
        <w:spacing w:line="240" w:lineRule="auto"/>
        <w:ind w:left="180"/>
      </w:pPr>
      <w:r>
        <w:t xml:space="preserve">19.  </w:t>
      </w:r>
      <w:r w:rsidRPr="00B16520">
        <w:t>Revised guideline rates for earth work lumpsum – villa projects.</w:t>
      </w:r>
    </w:p>
    <w:p w14:paraId="6F48479F" w14:textId="77777777" w:rsidR="003950BF" w:rsidRPr="00145882" w:rsidRDefault="003950BF" w:rsidP="003950B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5882">
        <w:rPr>
          <w:rFonts w:ascii="Times New Roman" w:hAnsi="Times New Roman"/>
          <w:sz w:val="24"/>
          <w:szCs w:val="24"/>
        </w:rPr>
        <w:t>Lumpsum rate for earth work for turnkey job including excavation of pits, PCC,</w:t>
      </w:r>
      <w:r>
        <w:rPr>
          <w:rFonts w:ascii="Times New Roman" w:hAnsi="Times New Roman"/>
          <w:sz w:val="24"/>
          <w:szCs w:val="24"/>
        </w:rPr>
        <w:t xml:space="preserve"> PPC for portico, fill back, leve</w:t>
      </w:r>
      <w:r w:rsidRPr="00145882">
        <w:rPr>
          <w:rFonts w:ascii="Times New Roman" w:hAnsi="Times New Roman"/>
          <w:sz w:val="24"/>
          <w:szCs w:val="24"/>
        </w:rPr>
        <w:t>ling for plinth beam, fill back, leveling compaction and PCC after plinth beam, set</w:t>
      </w:r>
      <w:r>
        <w:rPr>
          <w:rFonts w:ascii="Times New Roman" w:hAnsi="Times New Roman"/>
          <w:sz w:val="24"/>
          <w:szCs w:val="24"/>
        </w:rPr>
        <w:t>backs leve</w:t>
      </w:r>
      <w:r w:rsidRPr="00145882">
        <w:rPr>
          <w:rFonts w:ascii="Times New Roman" w:hAnsi="Times New Roman"/>
          <w:sz w:val="24"/>
          <w:szCs w:val="24"/>
        </w:rPr>
        <w:t>ling and compaction, excavation for CRS</w:t>
      </w:r>
      <w:r>
        <w:rPr>
          <w:rFonts w:ascii="Times New Roman" w:hAnsi="Times New Roman"/>
          <w:sz w:val="24"/>
          <w:szCs w:val="24"/>
        </w:rPr>
        <w:t>/Compound</w:t>
      </w:r>
      <w:r w:rsidRPr="00145882">
        <w:rPr>
          <w:rFonts w:ascii="Times New Roman" w:hAnsi="Times New Roman"/>
          <w:sz w:val="24"/>
          <w:szCs w:val="24"/>
        </w:rPr>
        <w:t xml:space="preserve"> and other miscellaneous earth works shall be as follows: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358"/>
        <w:gridCol w:w="1584"/>
      </w:tblGrid>
      <w:tr w:rsidR="003950BF" w:rsidRPr="00F548A8" w14:paraId="2F8558B9" w14:textId="77777777" w:rsidTr="007632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F1D" w14:textId="77777777" w:rsidR="003950BF" w:rsidRPr="00F548A8" w:rsidRDefault="003950BF" w:rsidP="00763240">
            <w:pPr>
              <w:spacing w:line="240" w:lineRule="auto"/>
              <w:ind w:left="0"/>
              <w:jc w:val="center"/>
            </w:pPr>
            <w:r w:rsidRPr="00F548A8">
              <w:t>Sl. 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B38" w14:textId="77777777" w:rsidR="003950BF" w:rsidRPr="00F548A8" w:rsidRDefault="003950BF" w:rsidP="00763240">
            <w:pPr>
              <w:spacing w:line="240" w:lineRule="auto"/>
              <w:ind w:left="0"/>
              <w:jc w:val="center"/>
            </w:pPr>
            <w:r>
              <w:t>Villa no.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B75" w14:textId="77777777" w:rsidR="003950BF" w:rsidRPr="00F548A8" w:rsidRDefault="003950BF" w:rsidP="00763240">
            <w:pPr>
              <w:spacing w:line="240" w:lineRule="auto"/>
              <w:ind w:left="0"/>
              <w:jc w:val="center"/>
            </w:pPr>
            <w:r w:rsidRPr="00F548A8">
              <w:t>Amount</w:t>
            </w:r>
          </w:p>
        </w:tc>
      </w:tr>
      <w:tr w:rsidR="003950BF" w:rsidRPr="00F548A8" w14:paraId="346F8AAB" w14:textId="77777777" w:rsidTr="007632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64B" w14:textId="77777777" w:rsidR="003950BF" w:rsidRPr="00F548A8" w:rsidRDefault="003950BF" w:rsidP="003950BF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0DA" w14:textId="77777777" w:rsidR="003950BF" w:rsidRPr="00F548A8" w:rsidRDefault="003950BF" w:rsidP="00763240">
            <w:pPr>
              <w:spacing w:line="240" w:lineRule="auto"/>
              <w:ind w:left="0"/>
            </w:pPr>
            <w:r>
              <w:t>1 to 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0195" w14:textId="77777777" w:rsidR="003950BF" w:rsidRPr="00F548A8" w:rsidRDefault="003950BF" w:rsidP="00763240">
            <w:pPr>
              <w:spacing w:line="240" w:lineRule="auto"/>
              <w:ind w:left="0"/>
              <w:jc w:val="right"/>
            </w:pPr>
            <w:r w:rsidRPr="00F548A8">
              <w:t>3</w:t>
            </w:r>
            <w:r>
              <w:t>5</w:t>
            </w:r>
            <w:r w:rsidRPr="00F548A8">
              <w:t>,000/-</w:t>
            </w:r>
          </w:p>
        </w:tc>
      </w:tr>
      <w:tr w:rsidR="003950BF" w:rsidRPr="00F548A8" w14:paraId="50CB2DB1" w14:textId="77777777" w:rsidTr="007632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49" w14:textId="77777777" w:rsidR="003950BF" w:rsidRPr="00F548A8" w:rsidRDefault="003950BF" w:rsidP="003950BF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A08" w14:textId="77777777" w:rsidR="003950BF" w:rsidRPr="00F548A8" w:rsidRDefault="003950BF" w:rsidP="00763240">
            <w:pPr>
              <w:spacing w:line="240" w:lineRule="auto"/>
              <w:ind w:left="0"/>
            </w:pPr>
            <w:r>
              <w:t>42 to 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71A3" w14:textId="77777777" w:rsidR="003950BF" w:rsidRPr="00F548A8" w:rsidRDefault="003950BF" w:rsidP="00763240">
            <w:pPr>
              <w:spacing w:line="240" w:lineRule="auto"/>
              <w:ind w:left="0"/>
              <w:jc w:val="right"/>
            </w:pPr>
            <w:r>
              <w:t>37</w:t>
            </w:r>
            <w:r w:rsidRPr="00F548A8">
              <w:t>,500/-</w:t>
            </w:r>
          </w:p>
        </w:tc>
      </w:tr>
      <w:tr w:rsidR="003950BF" w:rsidRPr="00F548A8" w14:paraId="7C36D333" w14:textId="77777777" w:rsidTr="0076324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0FA" w14:textId="77777777" w:rsidR="003950BF" w:rsidRPr="00F548A8" w:rsidRDefault="003950BF" w:rsidP="003950BF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19D8" w14:textId="77777777" w:rsidR="003950BF" w:rsidRPr="00F548A8" w:rsidRDefault="003950BF" w:rsidP="00763240">
            <w:pPr>
              <w:spacing w:line="240" w:lineRule="auto"/>
              <w:ind w:left="0"/>
            </w:pPr>
            <w:r>
              <w:t>67 to 92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680F" w14:textId="77777777" w:rsidR="003950BF" w:rsidRPr="00F548A8" w:rsidRDefault="003950BF" w:rsidP="00763240">
            <w:pPr>
              <w:spacing w:line="240" w:lineRule="auto"/>
              <w:ind w:left="0"/>
              <w:jc w:val="right"/>
            </w:pPr>
            <w:r>
              <w:t>40</w:t>
            </w:r>
            <w:r w:rsidRPr="00F548A8">
              <w:t>,</w:t>
            </w:r>
            <w:r>
              <w:t>0</w:t>
            </w:r>
            <w:r w:rsidRPr="00F548A8">
              <w:t>00/-</w:t>
            </w:r>
          </w:p>
        </w:tc>
      </w:tr>
    </w:tbl>
    <w:p w14:paraId="5E513DDE" w14:textId="77777777" w:rsidR="003950BF" w:rsidRDefault="003950BF" w:rsidP="003950BF">
      <w:pPr>
        <w:spacing w:line="240" w:lineRule="auto"/>
      </w:pPr>
    </w:p>
    <w:p w14:paraId="6DBF4EAE" w14:textId="77777777" w:rsidR="003950BF" w:rsidRPr="00B16520" w:rsidRDefault="003950BF" w:rsidP="003950BF">
      <w:pPr>
        <w:spacing w:line="240" w:lineRule="auto"/>
        <w:ind w:left="0"/>
      </w:pPr>
      <w:r>
        <w:t xml:space="preserve">20. </w:t>
      </w:r>
      <w:r w:rsidRPr="00B16520">
        <w:t>Payment terms:</w:t>
      </w:r>
    </w:p>
    <w:p w14:paraId="5F3A4BAA" w14:textId="77777777" w:rsidR="003950BF" w:rsidRPr="00B16520" w:rsidRDefault="003950BF" w:rsidP="003950B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6520">
        <w:rPr>
          <w:rFonts w:ascii="Times New Roman" w:hAnsi="Times New Roman"/>
          <w:sz w:val="24"/>
          <w:szCs w:val="24"/>
        </w:rPr>
        <w:t>Pay 10,000/- as advance on starting of work.</w:t>
      </w:r>
    </w:p>
    <w:p w14:paraId="5A75ACAC" w14:textId="77777777" w:rsidR="003950BF" w:rsidRPr="00B16520" w:rsidRDefault="003950BF" w:rsidP="003950BF">
      <w:pPr>
        <w:pStyle w:val="ListParagraph"/>
        <w:numPr>
          <w:ilvl w:val="0"/>
          <w:numId w:val="5"/>
        </w:numPr>
        <w:tabs>
          <w:tab w:val="num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16520">
        <w:rPr>
          <w:rFonts w:ascii="Times New Roman" w:hAnsi="Times New Roman"/>
          <w:sz w:val="24"/>
          <w:szCs w:val="24"/>
        </w:rPr>
        <w:t>Pay 10,000/- on casting of footings</w:t>
      </w:r>
    </w:p>
    <w:p w14:paraId="6F6E1C3F" w14:textId="77777777" w:rsidR="003950BF" w:rsidRPr="00B16520" w:rsidRDefault="003950BF" w:rsidP="003950BF">
      <w:pPr>
        <w:pStyle w:val="ListParagraph"/>
        <w:numPr>
          <w:ilvl w:val="0"/>
          <w:numId w:val="5"/>
        </w:numPr>
        <w:tabs>
          <w:tab w:val="num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16520">
        <w:rPr>
          <w:rFonts w:ascii="Times New Roman" w:hAnsi="Times New Roman"/>
          <w:sz w:val="24"/>
          <w:szCs w:val="24"/>
        </w:rPr>
        <w:t>Balance on completion of PCC &amp; plinth level + site clearing + PCC for portico.</w:t>
      </w:r>
    </w:p>
    <w:p w14:paraId="6E3E8DF3" w14:textId="77777777" w:rsidR="003950BF" w:rsidRDefault="003950BF" w:rsidP="003950BF">
      <w:pPr>
        <w:spacing w:line="240" w:lineRule="auto"/>
      </w:pPr>
    </w:p>
    <w:p w14:paraId="70D8A739" w14:textId="77777777" w:rsidR="003950BF" w:rsidRPr="00145882" w:rsidRDefault="003950BF" w:rsidP="003950BF">
      <w:pPr>
        <w:spacing w:line="240" w:lineRule="auto"/>
      </w:pPr>
    </w:p>
    <w:p w14:paraId="429430F7" w14:textId="77777777" w:rsidR="003950BF" w:rsidRPr="00F548A8" w:rsidRDefault="003950BF" w:rsidP="003950B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A2745ED" w14:textId="77777777" w:rsidR="003950BF" w:rsidRPr="00F548A8" w:rsidRDefault="003950BF" w:rsidP="003950BF">
      <w:pPr>
        <w:spacing w:line="240" w:lineRule="auto"/>
        <w:ind w:left="0"/>
      </w:pPr>
      <w:r w:rsidRPr="00F548A8">
        <w:t>Managing Director.</w:t>
      </w:r>
    </w:p>
    <w:p w14:paraId="5FB278E7" w14:textId="77777777" w:rsidR="003950BF" w:rsidRDefault="003950BF" w:rsidP="003950BF"/>
    <w:p w14:paraId="5CD50DA8" w14:textId="77777777" w:rsidR="003950BF" w:rsidRPr="00022515" w:rsidRDefault="003950BF" w:rsidP="003950BF">
      <w:pPr>
        <w:spacing w:line="240" w:lineRule="auto"/>
        <w:ind w:left="180"/>
      </w:pPr>
    </w:p>
    <w:p w14:paraId="39741FE6" w14:textId="2127401C" w:rsidR="00372F01" w:rsidRDefault="00372F01" w:rsidP="003950BF">
      <w:pPr>
        <w:spacing w:line="240" w:lineRule="auto"/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036F"/>
    <w:multiLevelType w:val="hybridMultilevel"/>
    <w:tmpl w:val="C996F9D0"/>
    <w:lvl w:ilvl="0" w:tplc="AAC4AD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30175"/>
    <w:multiLevelType w:val="hybridMultilevel"/>
    <w:tmpl w:val="39B8CE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5C43"/>
    <w:multiLevelType w:val="hybridMultilevel"/>
    <w:tmpl w:val="B8B207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4EA0BAD"/>
    <w:multiLevelType w:val="hybridMultilevel"/>
    <w:tmpl w:val="5BF8A056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D5DCD"/>
    <w:multiLevelType w:val="hybridMultilevel"/>
    <w:tmpl w:val="931AB4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23A"/>
    <w:multiLevelType w:val="hybridMultilevel"/>
    <w:tmpl w:val="D90897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4E29E6">
      <w:start w:val="1"/>
      <w:numFmt w:val="lowerLetter"/>
      <w:lvlText w:val="%2."/>
      <w:lvlJc w:val="righ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98"/>
    <w:rsid w:val="00372F01"/>
    <w:rsid w:val="003950BF"/>
    <w:rsid w:val="00F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041D"/>
  <w15:chartTrackingRefBased/>
  <w15:docId w15:val="{DB2F75C8-0ABD-47C0-97C3-119E88B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BF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2020-08-11T07:41:00Z</dcterms:created>
  <dcterms:modified xsi:type="dcterms:W3CDTF">2020-08-11T07:42:00Z</dcterms:modified>
</cp:coreProperties>
</file>