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F1E21" w14:textId="77777777" w:rsidR="00461E97" w:rsidRPr="00B52F7E" w:rsidRDefault="00461E97" w:rsidP="00461E97">
      <w:pPr>
        <w:spacing w:line="240" w:lineRule="auto"/>
        <w:ind w:left="0"/>
      </w:pPr>
      <w:r w:rsidRPr="00B52F7E">
        <w:t xml:space="preserve">Circular no. </w:t>
      </w:r>
      <w:r w:rsidRPr="00B52F7E">
        <w:rPr>
          <w:b/>
        </w:rPr>
        <w:t xml:space="preserve">839(a) - </w:t>
      </w:r>
      <w:r w:rsidRPr="00B52F7E">
        <w:t>Construction</w:t>
      </w:r>
      <w:r w:rsidRPr="00B52F7E">
        <w:tab/>
      </w:r>
      <w:r w:rsidRPr="00B52F7E">
        <w:tab/>
      </w:r>
      <w:r w:rsidRPr="00B52F7E">
        <w:tab/>
      </w:r>
      <w:r w:rsidRPr="00B52F7E">
        <w:tab/>
      </w:r>
      <w:r w:rsidRPr="00B52F7E">
        <w:tab/>
      </w:r>
      <w:r w:rsidRPr="00B52F7E">
        <w:tab/>
        <w:t>Date: 13.02.2016</w:t>
      </w:r>
    </w:p>
    <w:p w14:paraId="7473A323" w14:textId="77777777" w:rsidR="00461E97" w:rsidRPr="00B52F7E" w:rsidRDefault="00461E97" w:rsidP="00461E97">
      <w:pPr>
        <w:spacing w:line="240" w:lineRule="auto"/>
        <w:ind w:left="0"/>
      </w:pPr>
    </w:p>
    <w:p w14:paraId="13467D0A" w14:textId="77777777" w:rsidR="00461E97" w:rsidRPr="00B52F7E" w:rsidRDefault="00461E97" w:rsidP="00461E97">
      <w:pPr>
        <w:spacing w:line="240" w:lineRule="auto"/>
        <w:ind w:left="0"/>
      </w:pPr>
      <w:r w:rsidRPr="00B52F7E">
        <w:t xml:space="preserve">Sub.: Guideline rates for </w:t>
      </w:r>
      <w:proofErr w:type="spellStart"/>
      <w:r w:rsidRPr="00B52F7E">
        <w:t>highrise</w:t>
      </w:r>
      <w:proofErr w:type="spellEnd"/>
      <w:r w:rsidRPr="00B52F7E">
        <w:t xml:space="preserve"> apartments </w:t>
      </w:r>
    </w:p>
    <w:p w14:paraId="12379DE9" w14:textId="77777777" w:rsidR="00461E97" w:rsidRPr="00B52F7E" w:rsidRDefault="00461E97" w:rsidP="00461E97">
      <w:pPr>
        <w:spacing w:line="240" w:lineRule="auto"/>
        <w:ind w:left="0"/>
      </w:pPr>
    </w:p>
    <w:p w14:paraId="7AB1ACBD" w14:textId="77777777" w:rsidR="00461E97" w:rsidRPr="00B52F7E" w:rsidRDefault="00461E97" w:rsidP="00461E97">
      <w:pPr>
        <w:spacing w:line="240" w:lineRule="auto"/>
        <w:ind w:left="0"/>
      </w:pPr>
      <w:r w:rsidRPr="00B52F7E">
        <w:t xml:space="preserve">For </w:t>
      </w:r>
      <w:proofErr w:type="spellStart"/>
      <w:r w:rsidRPr="00B52F7E">
        <w:t>highrise</w:t>
      </w:r>
      <w:proofErr w:type="spellEnd"/>
      <w:r w:rsidRPr="00B52F7E">
        <w:t xml:space="preserve"> apartments beyond parking + 5 floors additional charges need to be paid on our </w:t>
      </w:r>
      <w:proofErr w:type="spellStart"/>
      <w:r w:rsidRPr="00B52F7E">
        <w:t>standandard</w:t>
      </w:r>
      <w:proofErr w:type="spellEnd"/>
      <w:r w:rsidRPr="00B52F7E">
        <w:t xml:space="preserve"> guidelines rates for difficulty of work. Additional charges shall be paid on our standard guideline </w:t>
      </w:r>
      <w:proofErr w:type="gramStart"/>
      <w:r w:rsidRPr="00B52F7E">
        <w:t>rates  as</w:t>
      </w:r>
      <w:proofErr w:type="gramEnd"/>
      <w:r w:rsidRPr="00B52F7E">
        <w:t xml:space="preserve"> follows:</w:t>
      </w:r>
    </w:p>
    <w:p w14:paraId="0D3CB83D" w14:textId="77777777" w:rsidR="00461E97" w:rsidRPr="00B52F7E" w:rsidRDefault="00461E97" w:rsidP="00461E97">
      <w:pPr>
        <w:spacing w:line="240" w:lineRule="auto"/>
        <w:ind w:left="0"/>
      </w:pPr>
    </w:p>
    <w:tbl>
      <w:tblPr>
        <w:tblStyle w:val="TableGrid"/>
        <w:tblW w:w="0" w:type="auto"/>
        <w:tblLook w:val="04A0" w:firstRow="1" w:lastRow="0" w:firstColumn="1" w:lastColumn="0" w:noHBand="0" w:noVBand="1"/>
      </w:tblPr>
      <w:tblGrid>
        <w:gridCol w:w="918"/>
        <w:gridCol w:w="3702"/>
        <w:gridCol w:w="1698"/>
        <w:gridCol w:w="2924"/>
      </w:tblGrid>
      <w:tr w:rsidR="00461E97" w:rsidRPr="00B52F7E" w14:paraId="1BC5AD3B" w14:textId="77777777" w:rsidTr="00F22685">
        <w:tc>
          <w:tcPr>
            <w:tcW w:w="918" w:type="dxa"/>
          </w:tcPr>
          <w:p w14:paraId="6D74AD16" w14:textId="77777777" w:rsidR="00461E97" w:rsidRPr="00B52F7E" w:rsidRDefault="00461E97" w:rsidP="00F22685">
            <w:pPr>
              <w:spacing w:line="240" w:lineRule="auto"/>
              <w:ind w:left="0"/>
            </w:pPr>
            <w:r w:rsidRPr="00B52F7E">
              <w:t>Sl. No.</w:t>
            </w:r>
          </w:p>
        </w:tc>
        <w:tc>
          <w:tcPr>
            <w:tcW w:w="3702" w:type="dxa"/>
          </w:tcPr>
          <w:p w14:paraId="30211649" w14:textId="77777777" w:rsidR="00461E97" w:rsidRPr="00B52F7E" w:rsidRDefault="00461E97" w:rsidP="00F22685">
            <w:pPr>
              <w:spacing w:line="240" w:lineRule="auto"/>
              <w:ind w:left="0"/>
            </w:pPr>
            <w:r w:rsidRPr="00B52F7E">
              <w:t>Description</w:t>
            </w:r>
          </w:p>
        </w:tc>
        <w:tc>
          <w:tcPr>
            <w:tcW w:w="1698" w:type="dxa"/>
          </w:tcPr>
          <w:p w14:paraId="0060BA93" w14:textId="77777777" w:rsidR="00461E97" w:rsidRPr="00B52F7E" w:rsidRDefault="00461E97" w:rsidP="00F22685">
            <w:pPr>
              <w:spacing w:line="240" w:lineRule="auto"/>
              <w:ind w:left="0"/>
            </w:pPr>
            <w:r w:rsidRPr="00B52F7E">
              <w:t>Relevant circular no.</w:t>
            </w:r>
          </w:p>
        </w:tc>
        <w:tc>
          <w:tcPr>
            <w:tcW w:w="2924" w:type="dxa"/>
          </w:tcPr>
          <w:p w14:paraId="19E25AE4" w14:textId="77777777" w:rsidR="00461E97" w:rsidRPr="00B52F7E" w:rsidRDefault="00461E97" w:rsidP="00F22685">
            <w:pPr>
              <w:spacing w:line="240" w:lineRule="auto"/>
              <w:ind w:left="0"/>
            </w:pPr>
            <w:r w:rsidRPr="00B52F7E">
              <w:t>Increased rate</w:t>
            </w:r>
          </w:p>
        </w:tc>
      </w:tr>
      <w:tr w:rsidR="00461E97" w:rsidRPr="00B52F7E" w14:paraId="0E3FFC08" w14:textId="77777777" w:rsidTr="00F22685">
        <w:tc>
          <w:tcPr>
            <w:tcW w:w="918" w:type="dxa"/>
          </w:tcPr>
          <w:p w14:paraId="09936E76" w14:textId="77777777" w:rsidR="00461E97" w:rsidRPr="00B52F7E" w:rsidRDefault="00461E97" w:rsidP="00461E97">
            <w:pPr>
              <w:pStyle w:val="ListParagraph"/>
              <w:numPr>
                <w:ilvl w:val="0"/>
                <w:numId w:val="1"/>
              </w:numPr>
              <w:spacing w:line="240" w:lineRule="auto"/>
              <w:jc w:val="left"/>
              <w:rPr>
                <w:sz w:val="24"/>
                <w:szCs w:val="24"/>
              </w:rPr>
            </w:pPr>
          </w:p>
        </w:tc>
        <w:tc>
          <w:tcPr>
            <w:tcW w:w="3702" w:type="dxa"/>
          </w:tcPr>
          <w:p w14:paraId="78014921" w14:textId="77777777" w:rsidR="00461E97" w:rsidRPr="00B52F7E" w:rsidRDefault="00461E97" w:rsidP="00F22685">
            <w:pPr>
              <w:spacing w:line="240" w:lineRule="auto"/>
              <w:ind w:left="0"/>
            </w:pPr>
            <w:r w:rsidRPr="00B52F7E">
              <w:t>Labour charges for plumbing</w:t>
            </w:r>
          </w:p>
        </w:tc>
        <w:tc>
          <w:tcPr>
            <w:tcW w:w="1698" w:type="dxa"/>
          </w:tcPr>
          <w:p w14:paraId="645F73E4" w14:textId="77777777" w:rsidR="00461E97" w:rsidRPr="00B52F7E" w:rsidRDefault="00461E97" w:rsidP="00F22685">
            <w:pPr>
              <w:spacing w:line="240" w:lineRule="auto"/>
              <w:ind w:left="0"/>
            </w:pPr>
            <w:r>
              <w:t>843(d</w:t>
            </w:r>
            <w:r w:rsidRPr="00B52F7E">
              <w:t>)</w:t>
            </w:r>
          </w:p>
        </w:tc>
        <w:tc>
          <w:tcPr>
            <w:tcW w:w="2924" w:type="dxa"/>
          </w:tcPr>
          <w:p w14:paraId="3CEDEA3D" w14:textId="77777777" w:rsidR="00461E97" w:rsidRPr="00B52F7E" w:rsidRDefault="00461E97" w:rsidP="00F22685">
            <w:pPr>
              <w:spacing w:line="240" w:lineRule="auto"/>
              <w:ind w:left="0"/>
            </w:pPr>
            <w:r w:rsidRPr="00B52F7E">
              <w:t>Pay 10% additional charges for flats above 5</w:t>
            </w:r>
            <w:r w:rsidRPr="00B52F7E">
              <w:rPr>
                <w:vertAlign w:val="superscript"/>
              </w:rPr>
              <w:t>th</w:t>
            </w:r>
            <w:r w:rsidRPr="00B52F7E">
              <w:t xml:space="preserve"> Floor.</w:t>
            </w:r>
          </w:p>
        </w:tc>
      </w:tr>
      <w:tr w:rsidR="00461E97" w:rsidRPr="00B52F7E" w14:paraId="1172FAE9" w14:textId="77777777" w:rsidTr="00F22685">
        <w:tc>
          <w:tcPr>
            <w:tcW w:w="918" w:type="dxa"/>
          </w:tcPr>
          <w:p w14:paraId="47B47887" w14:textId="77777777" w:rsidR="00461E97" w:rsidRPr="00B52F7E" w:rsidRDefault="00461E97" w:rsidP="00461E97">
            <w:pPr>
              <w:pStyle w:val="ListParagraph"/>
              <w:numPr>
                <w:ilvl w:val="0"/>
                <w:numId w:val="1"/>
              </w:numPr>
              <w:spacing w:line="240" w:lineRule="auto"/>
              <w:jc w:val="left"/>
              <w:rPr>
                <w:sz w:val="24"/>
                <w:szCs w:val="24"/>
              </w:rPr>
            </w:pPr>
          </w:p>
        </w:tc>
        <w:tc>
          <w:tcPr>
            <w:tcW w:w="3702" w:type="dxa"/>
          </w:tcPr>
          <w:p w14:paraId="7180A0AA" w14:textId="77777777" w:rsidR="00461E97" w:rsidRPr="00B52F7E" w:rsidRDefault="00461E97" w:rsidP="00F22685">
            <w:pPr>
              <w:spacing w:line="240" w:lineRule="auto"/>
              <w:ind w:left="0"/>
            </w:pPr>
            <w:r w:rsidRPr="00B52F7E">
              <w:t>Labour charges for electrical works</w:t>
            </w:r>
          </w:p>
        </w:tc>
        <w:tc>
          <w:tcPr>
            <w:tcW w:w="1698" w:type="dxa"/>
          </w:tcPr>
          <w:p w14:paraId="6EA0A0DA" w14:textId="77777777" w:rsidR="00461E97" w:rsidRPr="00B52F7E" w:rsidRDefault="00461E97" w:rsidP="00F22685">
            <w:pPr>
              <w:spacing w:line="240" w:lineRule="auto"/>
              <w:ind w:left="0"/>
            </w:pPr>
            <w:r w:rsidRPr="00B52F7E">
              <w:t>822(a)</w:t>
            </w:r>
          </w:p>
        </w:tc>
        <w:tc>
          <w:tcPr>
            <w:tcW w:w="2924" w:type="dxa"/>
          </w:tcPr>
          <w:p w14:paraId="2347B838" w14:textId="77777777" w:rsidR="00461E97" w:rsidRPr="00B52F7E" w:rsidRDefault="00461E97" w:rsidP="00F22685">
            <w:pPr>
              <w:spacing w:line="240" w:lineRule="auto"/>
              <w:ind w:left="0"/>
            </w:pPr>
            <w:r w:rsidRPr="00B52F7E">
              <w:t>Pay 10% additional charges for flats above 5</w:t>
            </w:r>
            <w:r w:rsidRPr="00B52F7E">
              <w:rPr>
                <w:vertAlign w:val="superscript"/>
              </w:rPr>
              <w:t>th</w:t>
            </w:r>
            <w:r w:rsidRPr="00B52F7E">
              <w:t xml:space="preserve"> Floor.</w:t>
            </w:r>
          </w:p>
        </w:tc>
      </w:tr>
      <w:tr w:rsidR="00461E97" w:rsidRPr="00B52F7E" w14:paraId="1E2F58DF" w14:textId="77777777" w:rsidTr="00F22685">
        <w:tc>
          <w:tcPr>
            <w:tcW w:w="918" w:type="dxa"/>
          </w:tcPr>
          <w:p w14:paraId="031089D3" w14:textId="77777777" w:rsidR="00461E97" w:rsidRPr="00B52F7E" w:rsidRDefault="00461E97" w:rsidP="00461E97">
            <w:pPr>
              <w:pStyle w:val="ListParagraph"/>
              <w:numPr>
                <w:ilvl w:val="0"/>
                <w:numId w:val="1"/>
              </w:numPr>
              <w:spacing w:line="240" w:lineRule="auto"/>
              <w:jc w:val="left"/>
              <w:rPr>
                <w:sz w:val="24"/>
                <w:szCs w:val="24"/>
              </w:rPr>
            </w:pPr>
          </w:p>
        </w:tc>
        <w:tc>
          <w:tcPr>
            <w:tcW w:w="3702" w:type="dxa"/>
          </w:tcPr>
          <w:p w14:paraId="2C841A94" w14:textId="77777777" w:rsidR="00461E97" w:rsidRPr="00B52F7E" w:rsidRDefault="00461E97" w:rsidP="00F22685">
            <w:pPr>
              <w:spacing w:line="240" w:lineRule="auto"/>
              <w:ind w:left="0"/>
            </w:pPr>
            <w:r w:rsidRPr="00B52F7E">
              <w:t>Labour charges for tile fixing</w:t>
            </w:r>
          </w:p>
        </w:tc>
        <w:tc>
          <w:tcPr>
            <w:tcW w:w="1698" w:type="dxa"/>
          </w:tcPr>
          <w:p w14:paraId="62FC58B6" w14:textId="77777777" w:rsidR="00461E97" w:rsidRPr="00B52F7E" w:rsidRDefault="00461E97" w:rsidP="00F22685">
            <w:pPr>
              <w:spacing w:line="240" w:lineRule="auto"/>
              <w:ind w:left="0"/>
            </w:pPr>
            <w:r w:rsidRPr="00B52F7E">
              <w:t>823(a)</w:t>
            </w:r>
          </w:p>
        </w:tc>
        <w:tc>
          <w:tcPr>
            <w:tcW w:w="2924" w:type="dxa"/>
          </w:tcPr>
          <w:p w14:paraId="05E430C3" w14:textId="77777777" w:rsidR="00461E97" w:rsidRPr="00B52F7E" w:rsidRDefault="00461E97" w:rsidP="00F22685">
            <w:pPr>
              <w:spacing w:line="240" w:lineRule="auto"/>
              <w:ind w:left="0"/>
            </w:pPr>
            <w:r w:rsidRPr="00B52F7E">
              <w:t>Pay 10% additional charges for flats above 5</w:t>
            </w:r>
            <w:r w:rsidRPr="00B52F7E">
              <w:rPr>
                <w:vertAlign w:val="superscript"/>
              </w:rPr>
              <w:t>th</w:t>
            </w:r>
            <w:r w:rsidRPr="00B52F7E">
              <w:t xml:space="preserve"> Floor.</w:t>
            </w:r>
          </w:p>
        </w:tc>
      </w:tr>
      <w:tr w:rsidR="00461E97" w:rsidRPr="00B52F7E" w14:paraId="64ADE24B" w14:textId="77777777" w:rsidTr="00F22685">
        <w:tc>
          <w:tcPr>
            <w:tcW w:w="918" w:type="dxa"/>
          </w:tcPr>
          <w:p w14:paraId="1971270D" w14:textId="77777777" w:rsidR="00461E97" w:rsidRPr="00B52F7E" w:rsidRDefault="00461E97" w:rsidP="00461E97">
            <w:pPr>
              <w:pStyle w:val="ListParagraph"/>
              <w:numPr>
                <w:ilvl w:val="0"/>
                <w:numId w:val="1"/>
              </w:numPr>
              <w:spacing w:line="240" w:lineRule="auto"/>
              <w:jc w:val="left"/>
              <w:rPr>
                <w:sz w:val="24"/>
                <w:szCs w:val="24"/>
              </w:rPr>
            </w:pPr>
          </w:p>
        </w:tc>
        <w:tc>
          <w:tcPr>
            <w:tcW w:w="3702" w:type="dxa"/>
          </w:tcPr>
          <w:p w14:paraId="24F3CE81" w14:textId="77777777" w:rsidR="00461E97" w:rsidRPr="00B52F7E" w:rsidRDefault="00461E97" w:rsidP="00F22685">
            <w:pPr>
              <w:spacing w:line="240" w:lineRule="auto"/>
              <w:ind w:left="0"/>
            </w:pPr>
            <w:r w:rsidRPr="00B52F7E">
              <w:t>Water proofing within flats (not applicable to terrace water proofing)</w:t>
            </w:r>
          </w:p>
        </w:tc>
        <w:tc>
          <w:tcPr>
            <w:tcW w:w="1698" w:type="dxa"/>
          </w:tcPr>
          <w:p w14:paraId="3845E7DB" w14:textId="77777777" w:rsidR="00461E97" w:rsidRPr="00B52F7E" w:rsidRDefault="00461E97" w:rsidP="00F22685">
            <w:pPr>
              <w:spacing w:line="240" w:lineRule="auto"/>
              <w:ind w:left="0"/>
            </w:pPr>
            <w:r w:rsidRPr="00B52F7E">
              <w:t>848(a)</w:t>
            </w:r>
          </w:p>
        </w:tc>
        <w:tc>
          <w:tcPr>
            <w:tcW w:w="2924" w:type="dxa"/>
          </w:tcPr>
          <w:p w14:paraId="6CDC90DA" w14:textId="77777777" w:rsidR="00461E97" w:rsidRPr="00B52F7E" w:rsidRDefault="00461E97" w:rsidP="00F22685">
            <w:pPr>
              <w:spacing w:line="240" w:lineRule="auto"/>
              <w:ind w:left="0"/>
            </w:pPr>
            <w:r w:rsidRPr="00B52F7E">
              <w:t>Pay 10% additional charges for flats above 5</w:t>
            </w:r>
            <w:r w:rsidRPr="00B52F7E">
              <w:rPr>
                <w:vertAlign w:val="superscript"/>
              </w:rPr>
              <w:t>th</w:t>
            </w:r>
            <w:r w:rsidRPr="00B52F7E">
              <w:t xml:space="preserve"> Floor.</w:t>
            </w:r>
          </w:p>
        </w:tc>
      </w:tr>
      <w:tr w:rsidR="00461E97" w:rsidRPr="00B52F7E" w14:paraId="3B1BE08F" w14:textId="77777777" w:rsidTr="00F22685">
        <w:tc>
          <w:tcPr>
            <w:tcW w:w="918" w:type="dxa"/>
          </w:tcPr>
          <w:p w14:paraId="7DCF550C" w14:textId="77777777" w:rsidR="00461E97" w:rsidRPr="00B52F7E" w:rsidRDefault="00461E97" w:rsidP="00461E97">
            <w:pPr>
              <w:pStyle w:val="ListParagraph"/>
              <w:numPr>
                <w:ilvl w:val="0"/>
                <w:numId w:val="1"/>
              </w:numPr>
              <w:spacing w:line="240" w:lineRule="auto"/>
              <w:jc w:val="left"/>
              <w:rPr>
                <w:sz w:val="24"/>
                <w:szCs w:val="24"/>
              </w:rPr>
            </w:pPr>
          </w:p>
        </w:tc>
        <w:tc>
          <w:tcPr>
            <w:tcW w:w="3702" w:type="dxa"/>
          </w:tcPr>
          <w:p w14:paraId="15FEAC97" w14:textId="77777777" w:rsidR="00461E97" w:rsidRPr="00B52F7E" w:rsidRDefault="00461E97" w:rsidP="00F22685">
            <w:pPr>
              <w:spacing w:line="240" w:lineRule="auto"/>
              <w:ind w:left="0"/>
            </w:pPr>
            <w:r w:rsidRPr="00B52F7E">
              <w:t xml:space="preserve">Labour charges for rainwater lines </w:t>
            </w:r>
          </w:p>
        </w:tc>
        <w:tc>
          <w:tcPr>
            <w:tcW w:w="1698" w:type="dxa"/>
          </w:tcPr>
          <w:p w14:paraId="662FE0D0" w14:textId="77777777" w:rsidR="00461E97" w:rsidRPr="00B52F7E" w:rsidRDefault="00461E97" w:rsidP="00F22685">
            <w:pPr>
              <w:spacing w:line="240" w:lineRule="auto"/>
              <w:ind w:left="0"/>
            </w:pPr>
            <w:r w:rsidRPr="00B52F7E">
              <w:t>843(a)</w:t>
            </w:r>
          </w:p>
        </w:tc>
        <w:tc>
          <w:tcPr>
            <w:tcW w:w="2924" w:type="dxa"/>
          </w:tcPr>
          <w:p w14:paraId="55D08219" w14:textId="77777777" w:rsidR="00461E97" w:rsidRPr="00B52F7E" w:rsidRDefault="00461E97" w:rsidP="00F22685">
            <w:pPr>
              <w:spacing w:line="240" w:lineRule="auto"/>
              <w:ind w:left="0"/>
            </w:pPr>
            <w:r w:rsidRPr="00B52F7E">
              <w:t>Pay 10% additional charges per floor for each floor beyond the 5</w:t>
            </w:r>
            <w:r w:rsidRPr="00B52F7E">
              <w:rPr>
                <w:vertAlign w:val="superscript"/>
              </w:rPr>
              <w:t>th</w:t>
            </w:r>
            <w:r w:rsidRPr="00B52F7E">
              <w:t xml:space="preserve"> floor for each block.</w:t>
            </w:r>
          </w:p>
        </w:tc>
      </w:tr>
      <w:tr w:rsidR="00461E97" w:rsidRPr="00B52F7E" w14:paraId="461F1A89" w14:textId="77777777" w:rsidTr="00F22685">
        <w:tc>
          <w:tcPr>
            <w:tcW w:w="918" w:type="dxa"/>
          </w:tcPr>
          <w:p w14:paraId="3782A1DF" w14:textId="77777777" w:rsidR="00461E97" w:rsidRPr="00B52F7E" w:rsidRDefault="00461E97" w:rsidP="00461E97">
            <w:pPr>
              <w:pStyle w:val="ListParagraph"/>
              <w:numPr>
                <w:ilvl w:val="0"/>
                <w:numId w:val="1"/>
              </w:numPr>
              <w:spacing w:line="240" w:lineRule="auto"/>
              <w:jc w:val="left"/>
              <w:rPr>
                <w:sz w:val="24"/>
                <w:szCs w:val="24"/>
              </w:rPr>
            </w:pPr>
          </w:p>
        </w:tc>
        <w:tc>
          <w:tcPr>
            <w:tcW w:w="3702" w:type="dxa"/>
          </w:tcPr>
          <w:p w14:paraId="2988AC46" w14:textId="77777777" w:rsidR="00461E97" w:rsidRPr="00B52F7E" w:rsidRDefault="00461E97" w:rsidP="00F22685">
            <w:pPr>
              <w:spacing w:line="240" w:lineRule="auto"/>
              <w:ind w:left="0"/>
            </w:pPr>
            <w:r w:rsidRPr="00B52F7E">
              <w:t xml:space="preserve">Labour charges for water connection </w:t>
            </w:r>
          </w:p>
        </w:tc>
        <w:tc>
          <w:tcPr>
            <w:tcW w:w="1698" w:type="dxa"/>
          </w:tcPr>
          <w:p w14:paraId="7B45BF1C" w14:textId="77777777" w:rsidR="00461E97" w:rsidRPr="00B52F7E" w:rsidRDefault="00461E97" w:rsidP="00F22685">
            <w:pPr>
              <w:spacing w:line="240" w:lineRule="auto"/>
              <w:ind w:left="0"/>
            </w:pPr>
            <w:r w:rsidRPr="00B52F7E">
              <w:t>843(a)</w:t>
            </w:r>
          </w:p>
        </w:tc>
        <w:tc>
          <w:tcPr>
            <w:tcW w:w="2924" w:type="dxa"/>
          </w:tcPr>
          <w:p w14:paraId="3DC19287" w14:textId="77777777" w:rsidR="00461E97" w:rsidRPr="00B52F7E" w:rsidRDefault="00461E97" w:rsidP="00F22685">
            <w:pPr>
              <w:spacing w:line="240" w:lineRule="auto"/>
              <w:ind w:left="0"/>
            </w:pPr>
            <w:r w:rsidRPr="00B52F7E">
              <w:t>Pay 10% additional charges per floor for each floor beyond the 5</w:t>
            </w:r>
            <w:r w:rsidRPr="00B52F7E">
              <w:rPr>
                <w:vertAlign w:val="superscript"/>
              </w:rPr>
              <w:t>th</w:t>
            </w:r>
            <w:r w:rsidRPr="00B52F7E">
              <w:t xml:space="preserve"> floor for each block</w:t>
            </w:r>
          </w:p>
        </w:tc>
      </w:tr>
    </w:tbl>
    <w:p w14:paraId="3249DD47" w14:textId="77777777" w:rsidR="00461E97" w:rsidRPr="00B52F7E" w:rsidRDefault="00461E97" w:rsidP="00461E97">
      <w:pPr>
        <w:spacing w:line="240" w:lineRule="auto"/>
        <w:ind w:left="0"/>
      </w:pPr>
    </w:p>
    <w:p w14:paraId="56BAA8A9" w14:textId="77777777" w:rsidR="00461E97" w:rsidRPr="00B52F7E" w:rsidRDefault="00461E97" w:rsidP="00461E97">
      <w:pPr>
        <w:spacing w:line="240" w:lineRule="auto"/>
        <w:ind w:left="0"/>
      </w:pPr>
      <w:r w:rsidRPr="00B52F7E">
        <w:t>These rates shall be applicable for PMR II and BNC and may be paid for blocks where work has not been completed. Payment of these additional charges where works already completed is left to the discretion of the project managers. They may raise bills for the extra charges as they deem fit.</w:t>
      </w:r>
    </w:p>
    <w:p w14:paraId="51E53A41" w14:textId="77777777" w:rsidR="00461E97" w:rsidRPr="00B52F7E" w:rsidRDefault="00461E97" w:rsidP="00461E97">
      <w:pPr>
        <w:spacing w:line="240" w:lineRule="auto"/>
        <w:ind w:left="0"/>
      </w:pPr>
    </w:p>
    <w:p w14:paraId="61F8A7CD" w14:textId="77777777" w:rsidR="00461E97" w:rsidRPr="00B52F7E" w:rsidRDefault="00461E97" w:rsidP="00461E97">
      <w:pPr>
        <w:spacing w:line="240" w:lineRule="auto"/>
        <w:ind w:left="0"/>
      </w:pPr>
    </w:p>
    <w:p w14:paraId="1B4A5BA9" w14:textId="77777777" w:rsidR="00461E97" w:rsidRPr="00B52F7E" w:rsidRDefault="00461E97" w:rsidP="00461E97">
      <w:pPr>
        <w:spacing w:line="240" w:lineRule="auto"/>
        <w:ind w:left="0"/>
      </w:pPr>
      <w:r w:rsidRPr="00B52F7E">
        <w:t>Soham Modi</w:t>
      </w:r>
    </w:p>
    <w:p w14:paraId="0EAB235C" w14:textId="77777777" w:rsidR="00461E97" w:rsidRPr="00B52F7E" w:rsidRDefault="00461E97" w:rsidP="00461E97">
      <w:pPr>
        <w:spacing w:line="240" w:lineRule="auto"/>
        <w:ind w:left="0"/>
        <w:rPr>
          <w:sz w:val="22"/>
          <w:szCs w:val="22"/>
        </w:rPr>
      </w:pPr>
    </w:p>
    <w:p w14:paraId="6351F510" w14:textId="27E1C510" w:rsidR="003200D0" w:rsidRDefault="003200D0" w:rsidP="00461E97">
      <w:pPr>
        <w:spacing w:line="240" w:lineRule="auto"/>
        <w:ind w:left="0"/>
      </w:pPr>
    </w:p>
    <w:sectPr w:rsidR="00320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05A6B"/>
    <w:multiLevelType w:val="hybridMultilevel"/>
    <w:tmpl w:val="802812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D0"/>
    <w:rsid w:val="003200D0"/>
    <w:rsid w:val="0046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8E54"/>
  <w15:chartTrackingRefBased/>
  <w15:docId w15:val="{DB6BA075-9C12-4D73-A68D-34BF17A1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E97"/>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E97"/>
    <w:pPr>
      <w:spacing w:after="200" w:line="276" w:lineRule="auto"/>
      <w:ind w:left="720"/>
      <w:contextualSpacing/>
    </w:pPr>
    <w:rPr>
      <w:rFonts w:ascii="Calibri" w:hAnsi="Calibri"/>
      <w:sz w:val="22"/>
      <w:szCs w:val="22"/>
    </w:rPr>
  </w:style>
  <w:style w:type="table" w:styleId="TableGrid">
    <w:name w:val="Table Grid"/>
    <w:basedOn w:val="TableNormal"/>
    <w:uiPriority w:val="59"/>
    <w:rsid w:val="00461E9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2020-08-13T06:32:00Z</dcterms:created>
  <dcterms:modified xsi:type="dcterms:W3CDTF">2020-08-13T06:32:00Z</dcterms:modified>
</cp:coreProperties>
</file>