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 xml:space="preserve">Old Intl Memo No. 912/28/a/ </w:t>
      </w:r>
      <w:proofErr w:type="gramStart"/>
      <w:r w:rsidRPr="00EC56EE">
        <w:rPr>
          <w:rFonts w:ascii="Times New Roman" w:hAnsi="Times New Roman" w:cs="Times New Roman"/>
          <w:sz w:val="24"/>
          <w:szCs w:val="24"/>
        </w:rPr>
        <w:t>New</w:t>
      </w:r>
      <w:proofErr w:type="gramEnd"/>
      <w:r w:rsidRPr="00EC56EE">
        <w:rPr>
          <w:rFonts w:ascii="Times New Roman" w:hAnsi="Times New Roman" w:cs="Times New Roman"/>
          <w:sz w:val="24"/>
          <w:szCs w:val="24"/>
        </w:rPr>
        <w:t xml:space="preserve"> circular no. </w:t>
      </w:r>
      <w:r w:rsidRPr="00EC56EE">
        <w:rPr>
          <w:rFonts w:ascii="Times New Roman" w:hAnsi="Times New Roman" w:cs="Times New Roman"/>
          <w:b/>
          <w:sz w:val="24"/>
          <w:szCs w:val="24"/>
        </w:rPr>
        <w:t>888(a)</w:t>
      </w:r>
      <w:r w:rsidRPr="00EC56EE">
        <w:rPr>
          <w:rFonts w:ascii="Times New Roman" w:hAnsi="Times New Roman" w:cs="Times New Roman"/>
          <w:sz w:val="24"/>
          <w:szCs w:val="24"/>
        </w:rPr>
        <w:tab/>
      </w:r>
      <w:r w:rsidRPr="00EC56EE">
        <w:rPr>
          <w:rFonts w:ascii="Times New Roman" w:hAnsi="Times New Roman" w:cs="Times New Roman"/>
          <w:sz w:val="24"/>
          <w:szCs w:val="24"/>
        </w:rPr>
        <w:tab/>
      </w:r>
      <w:r w:rsidRPr="00EC56EE">
        <w:rPr>
          <w:rFonts w:ascii="Times New Roman" w:hAnsi="Times New Roman" w:cs="Times New Roman"/>
          <w:sz w:val="24"/>
          <w:szCs w:val="24"/>
        </w:rPr>
        <w:tab/>
        <w:t>Date. 24.08.2009</w:t>
      </w:r>
    </w:p>
    <w:p w:rsidR="00EC56EE" w:rsidRPr="00EC56EE" w:rsidRDefault="00EC56EE" w:rsidP="00EC56EE">
      <w:pPr>
        <w:spacing w:after="0" w:line="240" w:lineRule="auto"/>
        <w:rPr>
          <w:rFonts w:ascii="Times New Roman" w:hAnsi="Times New Roman" w:cs="Times New Roman"/>
          <w:sz w:val="24"/>
          <w:szCs w:val="24"/>
        </w:rPr>
      </w:pPr>
    </w:p>
    <w:p w:rsidR="00EC56EE" w:rsidRPr="00EC56EE" w:rsidRDefault="00EC56EE" w:rsidP="00EC56EE">
      <w:pPr>
        <w:spacing w:after="0" w:line="240" w:lineRule="auto"/>
        <w:rPr>
          <w:rFonts w:ascii="Times New Roman" w:hAnsi="Times New Roman" w:cs="Times New Roman"/>
          <w:sz w:val="24"/>
          <w:szCs w:val="24"/>
        </w:rPr>
      </w:pPr>
    </w:p>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Subject</w:t>
      </w:r>
      <w:proofErr w:type="gramStart"/>
      <w:r w:rsidRPr="00EC56EE">
        <w:rPr>
          <w:rFonts w:ascii="Times New Roman" w:hAnsi="Times New Roman" w:cs="Times New Roman"/>
          <w:sz w:val="24"/>
          <w:szCs w:val="24"/>
        </w:rPr>
        <w:t>:-</w:t>
      </w:r>
      <w:proofErr w:type="gramEnd"/>
      <w:r w:rsidRPr="00EC56EE">
        <w:rPr>
          <w:rFonts w:ascii="Times New Roman" w:hAnsi="Times New Roman" w:cs="Times New Roman"/>
          <w:sz w:val="24"/>
          <w:szCs w:val="24"/>
        </w:rPr>
        <w:t xml:space="preserve"> Usage of covering blocks.</w:t>
      </w:r>
    </w:p>
    <w:p w:rsidR="00EC56EE" w:rsidRPr="00EC56EE" w:rsidRDefault="00EC56EE" w:rsidP="00EC56EE">
      <w:pPr>
        <w:spacing w:after="0" w:line="240" w:lineRule="auto"/>
        <w:rPr>
          <w:rFonts w:ascii="Times New Roman" w:hAnsi="Times New Roman" w:cs="Times New Roman"/>
          <w:sz w:val="24"/>
          <w:szCs w:val="24"/>
        </w:rPr>
      </w:pPr>
    </w:p>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The use of covering blocks as per correct specifications is important for the quality of the RCC structure.  Henceforth, PVC covering blocks will be used in place of covering blocks prepared at site.  Covering blocks shall be used as follows:</w:t>
      </w:r>
    </w:p>
    <w:p w:rsidR="00EC56EE" w:rsidRPr="00EC56EE" w:rsidRDefault="00EC56EE" w:rsidP="00EC56EE">
      <w:pPr>
        <w:spacing w:after="0" w:line="240" w:lineRule="auto"/>
        <w:rPr>
          <w:rFonts w:ascii="Times New Roman"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800"/>
        <w:gridCol w:w="2685"/>
        <w:gridCol w:w="1772"/>
      </w:tblGrid>
      <w:tr w:rsidR="00EC56EE" w:rsidRPr="00EC56EE" w:rsidTr="008F307D">
        <w:tc>
          <w:tcPr>
            <w:tcW w:w="255"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S. No.</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Item</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Recommended cover</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Rate per piece</w:t>
            </w:r>
          </w:p>
        </w:tc>
      </w:tr>
      <w:tr w:rsidR="00EC56EE" w:rsidRPr="00EC56EE" w:rsidTr="008F307D">
        <w:tc>
          <w:tcPr>
            <w:tcW w:w="255"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Footings</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50 mm</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3.50</w:t>
            </w:r>
          </w:p>
        </w:tc>
      </w:tr>
      <w:tr w:rsidR="00EC56EE" w:rsidRPr="00EC56EE" w:rsidTr="008F307D">
        <w:tc>
          <w:tcPr>
            <w:tcW w:w="255"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9” columns</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40 mm on all sites</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2.70</w:t>
            </w:r>
          </w:p>
        </w:tc>
      </w:tr>
      <w:tr w:rsidR="00EC56EE" w:rsidRPr="00EC56EE" w:rsidTr="008F307D">
        <w:tc>
          <w:tcPr>
            <w:tcW w:w="255"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6” column</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25 mm on shorter site &amp; 40 mm on longer site</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0.95 / 2.70</w:t>
            </w:r>
          </w:p>
        </w:tc>
      </w:tr>
      <w:tr w:rsidR="00EC56EE" w:rsidRPr="00EC56EE" w:rsidTr="008F307D">
        <w:tc>
          <w:tcPr>
            <w:tcW w:w="255"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 xml:space="preserve"> Beams</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25 mm</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0.95</w:t>
            </w:r>
          </w:p>
        </w:tc>
      </w:tr>
      <w:tr w:rsidR="00EC56EE" w:rsidRPr="00EC56EE" w:rsidTr="008F307D">
        <w:tc>
          <w:tcPr>
            <w:tcW w:w="255"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Slab</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20 mm</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0.60</w:t>
            </w:r>
          </w:p>
        </w:tc>
      </w:tr>
    </w:tbl>
    <w:p w:rsidR="00EC56EE" w:rsidRPr="00EC56EE" w:rsidRDefault="00EC56EE" w:rsidP="00EC56EE">
      <w:pPr>
        <w:spacing w:after="0" w:line="240" w:lineRule="auto"/>
        <w:rPr>
          <w:rFonts w:ascii="Times New Roman" w:hAnsi="Times New Roman" w:cs="Times New Roman"/>
          <w:sz w:val="24"/>
          <w:szCs w:val="24"/>
        </w:rPr>
      </w:pPr>
    </w:p>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After consulting structural engineers</w:t>
      </w:r>
      <w:proofErr w:type="gramStart"/>
      <w:r w:rsidRPr="00EC56EE">
        <w:rPr>
          <w:rFonts w:ascii="Times New Roman" w:hAnsi="Times New Roman" w:cs="Times New Roman"/>
          <w:sz w:val="24"/>
          <w:szCs w:val="24"/>
        </w:rPr>
        <w:t>,  it</w:t>
      </w:r>
      <w:proofErr w:type="gramEnd"/>
      <w:r w:rsidRPr="00EC56EE">
        <w:rPr>
          <w:rFonts w:ascii="Times New Roman" w:hAnsi="Times New Roman" w:cs="Times New Roman"/>
          <w:sz w:val="24"/>
          <w:szCs w:val="24"/>
        </w:rPr>
        <w:t xml:space="preserve"> has been decided that the usage of covering block shall be as follows:  </w:t>
      </w:r>
    </w:p>
    <w:p w:rsidR="00EC56EE" w:rsidRPr="00EC56EE" w:rsidRDefault="00EC56EE" w:rsidP="00EC56EE">
      <w:pPr>
        <w:spacing w:after="0" w:line="240" w:lineRule="auto"/>
        <w:rPr>
          <w:rFonts w:ascii="Times New Roman" w:hAnsi="Times New Roman" w:cs="Times New Roman"/>
          <w:sz w:val="24"/>
          <w:szCs w:val="24"/>
        </w:rPr>
      </w:pPr>
    </w:p>
    <w:p w:rsidR="00EC56EE" w:rsidRPr="00EC56EE" w:rsidRDefault="00EC56EE" w:rsidP="00EC56EE">
      <w:pPr>
        <w:pStyle w:val="ListParagraph"/>
        <w:numPr>
          <w:ilvl w:val="0"/>
          <w:numId w:val="1"/>
        </w:numPr>
        <w:spacing w:after="0" w:line="240" w:lineRule="auto"/>
        <w:ind w:left="0"/>
        <w:rPr>
          <w:rFonts w:ascii="Times New Roman" w:hAnsi="Times New Roman"/>
          <w:sz w:val="24"/>
          <w:szCs w:val="24"/>
        </w:rPr>
      </w:pPr>
      <w:r w:rsidRPr="00EC56EE">
        <w:rPr>
          <w:rFonts w:ascii="Times New Roman" w:hAnsi="Times New Roman"/>
          <w:sz w:val="24"/>
          <w:szCs w:val="24"/>
        </w:rPr>
        <w:t xml:space="preserve">For slabs make a grid of 3 ft x 3ft i.e., one covering block for every 9 </w:t>
      </w:r>
      <w:proofErr w:type="spellStart"/>
      <w:r w:rsidRPr="00EC56EE">
        <w:rPr>
          <w:rFonts w:ascii="Times New Roman" w:hAnsi="Times New Roman"/>
          <w:sz w:val="24"/>
          <w:szCs w:val="24"/>
        </w:rPr>
        <w:t>sft</w:t>
      </w:r>
      <w:proofErr w:type="spellEnd"/>
      <w:r w:rsidRPr="00EC56EE">
        <w:rPr>
          <w:rFonts w:ascii="Times New Roman" w:hAnsi="Times New Roman"/>
          <w:sz w:val="24"/>
          <w:szCs w:val="24"/>
        </w:rPr>
        <w:t>.</w:t>
      </w:r>
    </w:p>
    <w:p w:rsidR="00EC56EE" w:rsidRPr="00EC56EE" w:rsidRDefault="00EC56EE" w:rsidP="00EC56EE">
      <w:pPr>
        <w:pStyle w:val="ListParagraph"/>
        <w:numPr>
          <w:ilvl w:val="0"/>
          <w:numId w:val="1"/>
        </w:numPr>
        <w:spacing w:after="0" w:line="240" w:lineRule="auto"/>
        <w:ind w:left="0"/>
        <w:rPr>
          <w:rFonts w:ascii="Times New Roman" w:hAnsi="Times New Roman"/>
          <w:sz w:val="24"/>
          <w:szCs w:val="24"/>
        </w:rPr>
      </w:pPr>
      <w:r w:rsidRPr="00EC56EE">
        <w:rPr>
          <w:rFonts w:ascii="Times New Roman" w:hAnsi="Times New Roman"/>
          <w:sz w:val="24"/>
          <w:szCs w:val="24"/>
        </w:rPr>
        <w:t xml:space="preserve">For Footings – made a grid of 2 ft x 2 ft i.e., one covering block for every 4 </w:t>
      </w:r>
      <w:proofErr w:type="spellStart"/>
      <w:r w:rsidRPr="00EC56EE">
        <w:rPr>
          <w:rFonts w:ascii="Times New Roman" w:hAnsi="Times New Roman"/>
          <w:sz w:val="24"/>
          <w:szCs w:val="24"/>
        </w:rPr>
        <w:t>sft</w:t>
      </w:r>
      <w:proofErr w:type="spellEnd"/>
      <w:r w:rsidRPr="00EC56EE">
        <w:rPr>
          <w:rFonts w:ascii="Times New Roman" w:hAnsi="Times New Roman"/>
          <w:sz w:val="24"/>
          <w:szCs w:val="24"/>
        </w:rPr>
        <w:t>.</w:t>
      </w:r>
    </w:p>
    <w:p w:rsidR="00EC56EE" w:rsidRPr="00EC56EE" w:rsidRDefault="00EC56EE" w:rsidP="00EC56EE">
      <w:pPr>
        <w:pStyle w:val="ListParagraph"/>
        <w:numPr>
          <w:ilvl w:val="0"/>
          <w:numId w:val="1"/>
        </w:numPr>
        <w:spacing w:after="0" w:line="240" w:lineRule="auto"/>
        <w:ind w:left="0"/>
        <w:rPr>
          <w:rFonts w:ascii="Times New Roman" w:hAnsi="Times New Roman"/>
          <w:sz w:val="24"/>
          <w:szCs w:val="24"/>
        </w:rPr>
      </w:pPr>
      <w:r w:rsidRPr="00EC56EE">
        <w:rPr>
          <w:rFonts w:ascii="Times New Roman" w:hAnsi="Times New Roman"/>
          <w:sz w:val="24"/>
          <w:szCs w:val="24"/>
        </w:rPr>
        <w:t xml:space="preserve">For Beams – one or two covers shall be used for every 3 </w:t>
      </w:r>
      <w:proofErr w:type="spellStart"/>
      <w:r w:rsidRPr="00EC56EE">
        <w:rPr>
          <w:rFonts w:ascii="Times New Roman" w:hAnsi="Times New Roman"/>
          <w:sz w:val="24"/>
          <w:szCs w:val="24"/>
        </w:rPr>
        <w:t>rft</w:t>
      </w:r>
      <w:proofErr w:type="spellEnd"/>
      <w:r w:rsidRPr="00EC56EE">
        <w:rPr>
          <w:rFonts w:ascii="Times New Roman" w:hAnsi="Times New Roman"/>
          <w:sz w:val="24"/>
          <w:szCs w:val="24"/>
        </w:rPr>
        <w:t xml:space="preserve"> on each side of the beam.</w:t>
      </w:r>
    </w:p>
    <w:p w:rsidR="00EC56EE" w:rsidRPr="00EC56EE" w:rsidRDefault="00EC56EE" w:rsidP="00EC56EE">
      <w:pPr>
        <w:pStyle w:val="ListParagraph"/>
        <w:numPr>
          <w:ilvl w:val="0"/>
          <w:numId w:val="1"/>
        </w:numPr>
        <w:spacing w:after="0" w:line="240" w:lineRule="auto"/>
        <w:ind w:left="0"/>
        <w:rPr>
          <w:rFonts w:ascii="Times New Roman" w:hAnsi="Times New Roman"/>
          <w:sz w:val="24"/>
          <w:szCs w:val="24"/>
        </w:rPr>
      </w:pPr>
      <w:r w:rsidRPr="00EC56EE">
        <w:rPr>
          <w:rFonts w:ascii="Times New Roman" w:hAnsi="Times New Roman"/>
          <w:sz w:val="24"/>
          <w:szCs w:val="24"/>
        </w:rPr>
        <w:t>For Columns – use 4 to 6 covers for every side of the column.</w:t>
      </w:r>
    </w:p>
    <w:p w:rsidR="00EC56EE" w:rsidRPr="00EC56EE" w:rsidRDefault="00EC56EE" w:rsidP="00EC56EE">
      <w:pPr>
        <w:spacing w:after="0" w:line="240" w:lineRule="auto"/>
        <w:rPr>
          <w:rFonts w:ascii="Times New Roman" w:hAnsi="Times New Roman" w:cs="Times New Roman"/>
          <w:sz w:val="24"/>
          <w:szCs w:val="24"/>
        </w:rPr>
      </w:pPr>
    </w:p>
    <w:p w:rsidR="00EC56EE" w:rsidRPr="00EC56EE" w:rsidRDefault="00EC56EE" w:rsidP="00EC56EE">
      <w:pPr>
        <w:spacing w:after="0" w:line="240" w:lineRule="auto"/>
        <w:rPr>
          <w:rFonts w:ascii="Times New Roman" w:hAnsi="Times New Roman" w:cs="Times New Roman"/>
          <w:sz w:val="24"/>
          <w:szCs w:val="24"/>
        </w:rPr>
      </w:pPr>
      <w:r w:rsidRPr="00EC56EE">
        <w:rPr>
          <w:rFonts w:ascii="Times New Roman" w:hAnsi="Times New Roman" w:cs="Times New Roman"/>
          <w:sz w:val="24"/>
          <w:szCs w:val="24"/>
        </w:rPr>
        <w:t>Ensure that the PVC covers are tied to the reinforcement with binding wire as specified above.  The cover should be tied to the main reinforcement bars and not to the stirrups.  In other words the cover specified is from the main reinforcement.  Ensure that estimate for requirement of covering blocks is prepared as per the above and orders are placed 2 weeks in advance.  You may maintain stock for one bungalows / slab.</w:t>
      </w:r>
    </w:p>
    <w:p w:rsidR="00EC56EE" w:rsidRPr="00EC56EE" w:rsidRDefault="00EC56EE" w:rsidP="00EC56EE">
      <w:pPr>
        <w:spacing w:after="0" w:line="240" w:lineRule="auto"/>
        <w:rPr>
          <w:rFonts w:ascii="Times New Roman" w:hAnsi="Times New Roman" w:cs="Times New Roman"/>
          <w:sz w:val="24"/>
          <w:szCs w:val="24"/>
        </w:rPr>
      </w:pPr>
    </w:p>
    <w:p w:rsidR="00EC56EE" w:rsidRPr="00EC56EE" w:rsidRDefault="00EC56EE" w:rsidP="00EC56EE">
      <w:pPr>
        <w:spacing w:after="0" w:line="240" w:lineRule="auto"/>
        <w:rPr>
          <w:rFonts w:ascii="Times New Roman" w:hAnsi="Times New Roman" w:cs="Times New Roman"/>
          <w:sz w:val="24"/>
          <w:szCs w:val="24"/>
        </w:rPr>
      </w:pPr>
    </w:p>
    <w:p w:rsidR="00EC56EE" w:rsidRPr="00EC56EE" w:rsidRDefault="00EC56EE" w:rsidP="00EC56EE">
      <w:pPr>
        <w:spacing w:after="0" w:line="240" w:lineRule="auto"/>
        <w:rPr>
          <w:rFonts w:ascii="Times New Roman" w:hAnsi="Times New Roman" w:cs="Times New Roman"/>
          <w:sz w:val="24"/>
          <w:szCs w:val="24"/>
        </w:rPr>
      </w:pPr>
    </w:p>
    <w:p w:rsidR="00EC56EE" w:rsidRPr="00EC56EE" w:rsidRDefault="00EC56EE" w:rsidP="00EC56EE">
      <w:pPr>
        <w:spacing w:after="0" w:line="240" w:lineRule="auto"/>
        <w:rPr>
          <w:rFonts w:ascii="Times New Roman" w:hAnsi="Times New Roman" w:cs="Times New Roman"/>
          <w:sz w:val="24"/>
          <w:szCs w:val="24"/>
        </w:rPr>
      </w:pPr>
      <w:proofErr w:type="spellStart"/>
      <w:r w:rsidRPr="00EC56EE">
        <w:rPr>
          <w:rFonts w:ascii="Times New Roman" w:hAnsi="Times New Roman" w:cs="Times New Roman"/>
          <w:sz w:val="24"/>
          <w:szCs w:val="24"/>
        </w:rPr>
        <w:t>Soham</w:t>
      </w:r>
      <w:proofErr w:type="spellEnd"/>
      <w:r w:rsidRPr="00EC56EE">
        <w:rPr>
          <w:rFonts w:ascii="Times New Roman" w:hAnsi="Times New Roman" w:cs="Times New Roman"/>
          <w:sz w:val="24"/>
          <w:szCs w:val="24"/>
        </w:rPr>
        <w:t xml:space="preserve"> </w:t>
      </w:r>
      <w:proofErr w:type="spellStart"/>
      <w:r w:rsidRPr="00EC56EE">
        <w:rPr>
          <w:rFonts w:ascii="Times New Roman" w:hAnsi="Times New Roman" w:cs="Times New Roman"/>
          <w:sz w:val="24"/>
          <w:szCs w:val="24"/>
        </w:rPr>
        <w:t>Modi</w:t>
      </w:r>
      <w:proofErr w:type="spellEnd"/>
    </w:p>
    <w:p w:rsidR="00F17C7E" w:rsidRPr="00EC56EE" w:rsidRDefault="00F17C7E" w:rsidP="00EC56EE">
      <w:pPr>
        <w:spacing w:after="0" w:line="240" w:lineRule="auto"/>
        <w:rPr>
          <w:rFonts w:ascii="Times New Roman" w:hAnsi="Times New Roman" w:cs="Times New Roman"/>
          <w:sz w:val="24"/>
          <w:szCs w:val="24"/>
        </w:rPr>
      </w:pPr>
    </w:p>
    <w:sectPr w:rsidR="00F17C7E" w:rsidRPr="00EC56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10AE6"/>
    <w:multiLevelType w:val="hybridMultilevel"/>
    <w:tmpl w:val="99BE9A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C56EE"/>
    <w:rsid w:val="00EC56EE"/>
    <w:rsid w:val="00F17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C56EE"/>
    <w:pPr>
      <w:ind w:left="720"/>
      <w:contextualSpacing/>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2020-08-17T09:05:00Z</dcterms:created>
  <dcterms:modified xsi:type="dcterms:W3CDTF">2020-08-17T09:05:00Z</dcterms:modified>
</cp:coreProperties>
</file>