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49" w:type="dxa"/>
        <w:tblInd w:w="-252" w:type="dxa"/>
        <w:tblLook w:val="04A0" w:firstRow="1" w:lastRow="0" w:firstColumn="1" w:lastColumn="0" w:noHBand="0" w:noVBand="1"/>
      </w:tblPr>
      <w:tblGrid>
        <w:gridCol w:w="10049"/>
      </w:tblGrid>
      <w:tr w:rsidR="004E3EFB" w:rsidRPr="00D0743E" w14:paraId="2063E7B6" w14:textId="77777777" w:rsidTr="00005DEF">
        <w:trPr>
          <w:trHeight w:val="171"/>
        </w:trPr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D87D" w14:textId="77777777" w:rsidR="004E3EFB" w:rsidRPr="00D0743E" w:rsidRDefault="004E3EFB" w:rsidP="00005DEF">
            <w:pPr>
              <w:rPr>
                <w:color w:val="000000"/>
              </w:rPr>
            </w:pPr>
            <w:r>
              <w:br w:type="page"/>
            </w:r>
            <w:r>
              <w:br w:type="page"/>
            </w:r>
            <w:r w:rsidRPr="00D0743E">
              <w:rPr>
                <w:color w:val="000000"/>
              </w:rPr>
              <w:t xml:space="preserve">Circular No.  </w:t>
            </w:r>
            <w:r>
              <w:rPr>
                <w:color w:val="000000"/>
              </w:rPr>
              <w:t>219(a) – Accounts                                                                        Date: 15.05.2017</w:t>
            </w:r>
          </w:p>
        </w:tc>
      </w:tr>
    </w:tbl>
    <w:p w14:paraId="33BD02B7" w14:textId="77777777" w:rsidR="004E3EFB" w:rsidRDefault="004E3EFB" w:rsidP="004E3EFB">
      <w:pPr>
        <w:rPr>
          <w:color w:val="000000"/>
        </w:rPr>
      </w:pPr>
    </w:p>
    <w:p w14:paraId="19E28844" w14:textId="28D25E6B" w:rsidR="004E3EFB" w:rsidRDefault="004E3EFB" w:rsidP="004E3EFB">
      <w:proofErr w:type="gramStart"/>
      <w:r>
        <w:rPr>
          <w:color w:val="000000"/>
        </w:rPr>
        <w:t>Sub :</w:t>
      </w:r>
      <w:proofErr w:type="gramEnd"/>
      <w:r>
        <w:rPr>
          <w:color w:val="000000"/>
        </w:rPr>
        <w:t xml:space="preserve"> Procedure for payment of petty cash, conveyance charges, taxes through separate account   standard operating procedure</w:t>
      </w:r>
    </w:p>
    <w:tbl>
      <w:tblPr>
        <w:tblW w:w="9797" w:type="dxa"/>
        <w:tblInd w:w="-252" w:type="dxa"/>
        <w:tblLook w:val="04A0" w:firstRow="1" w:lastRow="0" w:firstColumn="1" w:lastColumn="0" w:noHBand="0" w:noVBand="1"/>
      </w:tblPr>
      <w:tblGrid>
        <w:gridCol w:w="9797"/>
      </w:tblGrid>
      <w:tr w:rsidR="004E3EFB" w:rsidRPr="00D0743E" w14:paraId="2FE4B8AE" w14:textId="77777777" w:rsidTr="004E3EFB">
        <w:trPr>
          <w:trHeight w:val="171"/>
        </w:trPr>
        <w:tc>
          <w:tcPr>
            <w:tcW w:w="9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3854" w14:textId="297CF47B" w:rsidR="004E3EFB" w:rsidRDefault="004E3EFB" w:rsidP="004E3EF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14:paraId="43D5E5A7" w14:textId="77777777" w:rsidR="004E3EFB" w:rsidRDefault="004E3EFB" w:rsidP="004E3EF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accounts have been opened in Axis bank in the name of MPPL &amp; MHPL. These 2 accounts are to be used for payment of </w:t>
            </w:r>
          </w:p>
          <w:p w14:paraId="7FD80A4F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Common promotional expenses</w:t>
            </w:r>
          </w:p>
          <w:p w14:paraId="1E108651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Recharging </w:t>
            </w:r>
            <w:proofErr w:type="spellStart"/>
            <w:r>
              <w:rPr>
                <w:color w:val="000000"/>
              </w:rPr>
              <w:t>Happay</w:t>
            </w:r>
            <w:proofErr w:type="spellEnd"/>
            <w:r>
              <w:rPr>
                <w:color w:val="000000"/>
              </w:rPr>
              <w:t xml:space="preserve"> card</w:t>
            </w:r>
          </w:p>
          <w:p w14:paraId="7AFD9096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Recharging </w:t>
            </w:r>
            <w:proofErr w:type="spellStart"/>
            <w:r>
              <w:rPr>
                <w:color w:val="000000"/>
              </w:rPr>
              <w:t>petro</w:t>
            </w:r>
            <w:proofErr w:type="spellEnd"/>
            <w:r>
              <w:rPr>
                <w:color w:val="000000"/>
              </w:rPr>
              <w:t xml:space="preserve"> card</w:t>
            </w:r>
          </w:p>
          <w:p w14:paraId="6CA0CF6A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Other common expenses</w:t>
            </w:r>
          </w:p>
          <w:p w14:paraId="7041F856" w14:textId="77777777" w:rsidR="004E3EFB" w:rsidRDefault="004E3EFB" w:rsidP="004E3EF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accounts have been opened in SBH bank in the name of MPPL &amp; MHPL. These 2 accounts are to be used for payment of statutory liabilities like </w:t>
            </w:r>
          </w:p>
          <w:p w14:paraId="2DE0EB90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VAT</w:t>
            </w:r>
          </w:p>
          <w:p w14:paraId="28B9B194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Service Tax</w:t>
            </w:r>
          </w:p>
          <w:p w14:paraId="76DE526E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GST </w:t>
            </w:r>
          </w:p>
          <w:p w14:paraId="4A0D33BB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Professional tax</w:t>
            </w:r>
          </w:p>
          <w:p w14:paraId="77866AD1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Income tax</w:t>
            </w:r>
          </w:p>
          <w:p w14:paraId="7ABCC49D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TDS</w:t>
            </w:r>
          </w:p>
          <w:p w14:paraId="36CFC26E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Stamp duty &amp; registration charges</w:t>
            </w:r>
          </w:p>
          <w:p w14:paraId="5B62D87E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PF &amp; ESI</w:t>
            </w:r>
          </w:p>
          <w:p w14:paraId="7A182E24" w14:textId="77777777" w:rsidR="004E3EFB" w:rsidRDefault="004E3EFB" w:rsidP="004E3EF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Separate a/cs. for Vista has been opened in Axis bank and SBH for the same purpose. Payment is to be made through accounts of subsidiaries of MHPL &amp; MPPL. List of subsidiaries is enclosed as Annexure –A. </w:t>
            </w:r>
          </w:p>
          <w:p w14:paraId="0CAF0927" w14:textId="77777777" w:rsidR="004E3EFB" w:rsidRDefault="004E3EFB" w:rsidP="004E3EF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Payment of petty cash to be completely avoided unless </w:t>
            </w:r>
            <w:proofErr w:type="gramStart"/>
            <w:r>
              <w:rPr>
                <w:color w:val="000000"/>
              </w:rPr>
              <w:t>absolutely necessary</w:t>
            </w:r>
            <w:proofErr w:type="gramEnd"/>
            <w:r>
              <w:rPr>
                <w:color w:val="000000"/>
              </w:rPr>
              <w:t>. For such payments approval of accounts manager is required (</w:t>
            </w:r>
            <w:proofErr w:type="spellStart"/>
            <w:r>
              <w:rPr>
                <w:color w:val="000000"/>
              </w:rPr>
              <w:t>upto</w:t>
            </w:r>
            <w:proofErr w:type="spellEnd"/>
            <w:r>
              <w:rPr>
                <w:color w:val="000000"/>
              </w:rPr>
              <w:t xml:space="preserve"> to prescribe limits) and the same must be brought to MDs notice (in writing). </w:t>
            </w:r>
          </w:p>
          <w:p w14:paraId="31FECA33" w14:textId="77777777" w:rsidR="004E3EFB" w:rsidRPr="00940F86" w:rsidRDefault="004E3EFB" w:rsidP="004E3EF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/>
                <w:u w:val="single"/>
              </w:rPr>
            </w:pPr>
            <w:proofErr w:type="spellStart"/>
            <w:r w:rsidRPr="00940F86">
              <w:rPr>
                <w:color w:val="000000"/>
                <w:u w:val="single"/>
              </w:rPr>
              <w:t>Happay</w:t>
            </w:r>
            <w:proofErr w:type="spellEnd"/>
            <w:r w:rsidRPr="00940F86">
              <w:rPr>
                <w:color w:val="000000"/>
                <w:u w:val="single"/>
              </w:rPr>
              <w:t xml:space="preserve"> card. </w:t>
            </w:r>
          </w:p>
          <w:p w14:paraId="169FE6BD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Happay</w:t>
            </w:r>
            <w:proofErr w:type="spellEnd"/>
            <w:r>
              <w:rPr>
                <w:color w:val="000000"/>
              </w:rPr>
              <w:t xml:space="preserve"> cards are pre-paid cards and the operation is </w:t>
            </w:r>
            <w:proofErr w:type="gramStart"/>
            <w:r>
              <w:rPr>
                <w:color w:val="000000"/>
              </w:rPr>
              <w:t>similar to</w:t>
            </w:r>
            <w:proofErr w:type="gramEnd"/>
            <w:r>
              <w:rPr>
                <w:color w:val="000000"/>
              </w:rPr>
              <w:t xml:space="preserve"> credit &amp; debit cards. Cash can be withdrawn from any ATM and </w:t>
            </w:r>
            <w:proofErr w:type="spellStart"/>
            <w:r>
              <w:rPr>
                <w:color w:val="000000"/>
              </w:rPr>
              <w:t>oneline</w:t>
            </w:r>
            <w:proofErr w:type="spellEnd"/>
            <w:r>
              <w:rPr>
                <w:color w:val="000000"/>
              </w:rPr>
              <w:t xml:space="preserve"> payments can be made through the cards. However, they can be used only </w:t>
            </w:r>
            <w:proofErr w:type="spellStart"/>
            <w:r>
              <w:rPr>
                <w:color w:val="000000"/>
              </w:rPr>
              <w:t>upto</w:t>
            </w:r>
            <w:proofErr w:type="spellEnd"/>
            <w:r>
              <w:rPr>
                <w:color w:val="000000"/>
              </w:rPr>
              <w:t xml:space="preserve"> the amounts pre-deposited in each card. </w:t>
            </w:r>
          </w:p>
          <w:p w14:paraId="0F639CD5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Two sets of </w:t>
            </w:r>
            <w:proofErr w:type="spellStart"/>
            <w:r>
              <w:rPr>
                <w:color w:val="000000"/>
              </w:rPr>
              <w:t>Happay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cards  have</w:t>
            </w:r>
            <w:proofErr w:type="gramEnd"/>
            <w:r>
              <w:rPr>
                <w:color w:val="000000"/>
              </w:rPr>
              <w:t xml:space="preserve"> been taken. One set is issued from account of Modi Properties and the second set from the account of Modi Housing.</w:t>
            </w:r>
          </w:p>
          <w:p w14:paraId="7B844562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proofErr w:type="spellStart"/>
            <w:r>
              <w:rPr>
                <w:color w:val="000000"/>
              </w:rPr>
              <w:t>Happay</w:t>
            </w:r>
            <w:proofErr w:type="spellEnd"/>
            <w:r>
              <w:rPr>
                <w:color w:val="000000"/>
              </w:rPr>
              <w:t xml:space="preserve"> cards are to be used only for the purposes given below. They cannot be used for purchase of petrol and diesel. For petrol and diesel </w:t>
            </w:r>
            <w:proofErr w:type="spellStart"/>
            <w:r>
              <w:rPr>
                <w:color w:val="000000"/>
              </w:rPr>
              <w:t>petro</w:t>
            </w:r>
            <w:proofErr w:type="spellEnd"/>
            <w:r>
              <w:rPr>
                <w:color w:val="000000"/>
              </w:rPr>
              <w:t xml:space="preserve"> card must be used. They also cannot be used for personal expenditure or salary advances. For any other use prior approval of admin manager or accounts manager is required.</w:t>
            </w:r>
          </w:p>
          <w:p w14:paraId="1C66AEAC" w14:textId="77777777" w:rsidR="004E3EFB" w:rsidRDefault="004E3EFB" w:rsidP="004E3EFB">
            <w:pPr>
              <w:pStyle w:val="ListParagraph"/>
              <w:numPr>
                <w:ilvl w:val="2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Withdrawal of petty cash</w:t>
            </w:r>
          </w:p>
          <w:p w14:paraId="2A47CFE2" w14:textId="77777777" w:rsidR="004E3EFB" w:rsidRDefault="004E3EFB" w:rsidP="004E3EFB">
            <w:pPr>
              <w:pStyle w:val="ListParagraph"/>
              <w:numPr>
                <w:ilvl w:val="2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Online purchases</w:t>
            </w:r>
          </w:p>
          <w:p w14:paraId="1FFECAF3" w14:textId="77777777" w:rsidR="004E3EFB" w:rsidRDefault="004E3EFB" w:rsidP="004E3EFB">
            <w:pPr>
              <w:pStyle w:val="ListParagraph"/>
              <w:numPr>
                <w:ilvl w:val="2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Payment for local purchases</w:t>
            </w:r>
          </w:p>
          <w:p w14:paraId="0CBC8873" w14:textId="77777777" w:rsidR="004E3EFB" w:rsidRDefault="004E3EFB" w:rsidP="004E3EFB">
            <w:pPr>
              <w:pStyle w:val="ListParagraph"/>
              <w:numPr>
                <w:ilvl w:val="2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Payment for emergency medical care</w:t>
            </w:r>
          </w:p>
          <w:p w14:paraId="37CB51C9" w14:textId="77777777" w:rsidR="004E3EFB" w:rsidRDefault="004E3EFB" w:rsidP="004E3EFB">
            <w:pPr>
              <w:pStyle w:val="ListParagraph"/>
              <w:numPr>
                <w:ilvl w:val="2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Tour &amp; travelling expenses</w:t>
            </w:r>
          </w:p>
          <w:p w14:paraId="0E0D53BB" w14:textId="77777777" w:rsidR="004E3EFB" w:rsidRDefault="004E3EFB" w:rsidP="004E3EFB">
            <w:pPr>
              <w:pStyle w:val="ListParagraph"/>
              <w:numPr>
                <w:ilvl w:val="2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Incidental expenses</w:t>
            </w:r>
          </w:p>
          <w:p w14:paraId="3051D9E4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Happay</w:t>
            </w:r>
            <w:proofErr w:type="spellEnd"/>
            <w:r>
              <w:rPr>
                <w:color w:val="000000"/>
              </w:rPr>
              <w:t xml:space="preserve"> cards to be issued to project managers/site in-charge and admin manager at site.  Initial/approved amount to be deposited in </w:t>
            </w:r>
            <w:proofErr w:type="spellStart"/>
            <w:r>
              <w:rPr>
                <w:color w:val="000000"/>
              </w:rPr>
              <w:t>Happay</w:t>
            </w:r>
            <w:proofErr w:type="spellEnd"/>
            <w:r>
              <w:rPr>
                <w:color w:val="000000"/>
              </w:rPr>
              <w:t xml:space="preserve"> card is specified in Annexure – B (Sl. No., company, project, employee, initial amount/approved amount). </w:t>
            </w:r>
          </w:p>
          <w:p w14:paraId="4F20D911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Dedicated accountant has been provided for maintaining the Axis Bank a/c. (Vamshi). Request for transfer to </w:t>
            </w:r>
            <w:proofErr w:type="spellStart"/>
            <w:r>
              <w:rPr>
                <w:color w:val="000000"/>
              </w:rPr>
              <w:t>Happay</w:t>
            </w:r>
            <w:proofErr w:type="spellEnd"/>
            <w:r>
              <w:rPr>
                <w:color w:val="000000"/>
              </w:rPr>
              <w:t xml:space="preserve"> must be made using ‘Payment request form’. Form may be given in original or as signed scanned copy. </w:t>
            </w:r>
          </w:p>
          <w:p w14:paraId="3A3447D4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Employees to submit excel sheet of </w:t>
            </w:r>
            <w:proofErr w:type="spellStart"/>
            <w:r>
              <w:rPr>
                <w:color w:val="000000"/>
              </w:rPr>
              <w:t>happay</w:t>
            </w:r>
            <w:proofErr w:type="spellEnd"/>
            <w:r>
              <w:rPr>
                <w:color w:val="000000"/>
              </w:rPr>
              <w:t xml:space="preserve"> a/c. generated through mobile/desktop app. every Friday before 4 pm to respective accountant. Original vouchers along with signed copy of the same excel sheet to be sent to respective accountant by 2 pm on Saturday. Penalty for default Rs. 100/- per day (accountants to debit penalty to salary a/c. after approval from accounts manager). For such </w:t>
            </w:r>
            <w:proofErr w:type="gramStart"/>
            <w:r>
              <w:rPr>
                <w:color w:val="000000"/>
              </w:rPr>
              <w:t>recharge</w:t>
            </w:r>
            <w:proofErr w:type="gramEnd"/>
            <w:r>
              <w:rPr>
                <w:color w:val="000000"/>
              </w:rPr>
              <w:t xml:space="preserve"> no approval is required. Accountants may prepare payment request form. All other payment request forms must be approved by MD (in emergency by Kanaka Rao or Manager of respective divisions).</w:t>
            </w:r>
          </w:p>
          <w:p w14:paraId="02B46404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Payment request form must be forwarded to accountant managing Axis bank accounts (Vamshi). Vamshi to forward request to accounts managers for transfer to </w:t>
            </w:r>
            <w:proofErr w:type="spellStart"/>
            <w:r>
              <w:rPr>
                <w:color w:val="000000"/>
              </w:rPr>
              <w:t>Happay</w:t>
            </w:r>
            <w:proofErr w:type="spellEnd"/>
            <w:r>
              <w:rPr>
                <w:color w:val="000000"/>
              </w:rPr>
              <w:t xml:space="preserve">. Transfers must be done twice a day i.e., before 2pm and before 6pm. Transfers must be made irrespective of receipts to Axis bank from respective projects. </w:t>
            </w:r>
          </w:p>
          <w:p w14:paraId="5D6D9251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Accountant managing Axis bank account must make consolidated request for payment from respective company/project by 4pm every Friday. However, for large transfers more than Rs. 10,000/- payment must be requested from respective projects/company on the same day.</w:t>
            </w:r>
          </w:p>
          <w:p w14:paraId="4F93155A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Accountant must maintain separate ledger for each company/project in Axis bank a/c. Debit payments made and credit payments received from company/project. Accountants of projects/companies must maintain debit/credit balances for </w:t>
            </w:r>
            <w:proofErr w:type="spellStart"/>
            <w:r>
              <w:rPr>
                <w:color w:val="000000"/>
              </w:rPr>
              <w:t>Happay</w:t>
            </w:r>
            <w:proofErr w:type="spellEnd"/>
            <w:r>
              <w:rPr>
                <w:color w:val="000000"/>
              </w:rPr>
              <w:t xml:space="preserve"> card issued to each individual or projects.</w:t>
            </w:r>
          </w:p>
          <w:p w14:paraId="58A70C10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All mobile/desk top app category and sub-category are pre-defined. List is given in Annexure –E. category to be used for project/company. Sub-category for account head (Sl. No., company – project, Sl. No., account head). This will help accountants to pass a single JV for petty cash accounts. Details need not be entered. </w:t>
            </w:r>
          </w:p>
          <w:p w14:paraId="1B86B102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Control panel of </w:t>
            </w:r>
            <w:proofErr w:type="spellStart"/>
            <w:r>
              <w:rPr>
                <w:color w:val="000000"/>
              </w:rPr>
              <w:t>Happay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Sambasiva</w:t>
            </w:r>
            <w:proofErr w:type="spellEnd"/>
            <w:r>
              <w:rPr>
                <w:color w:val="000000"/>
              </w:rPr>
              <w:t xml:space="preserve"> Rao – MHPL, Jaya Prakash – MPPL.</w:t>
            </w:r>
          </w:p>
          <w:p w14:paraId="1941627C" w14:textId="77777777" w:rsidR="004E3EFB" w:rsidRPr="00E70180" w:rsidRDefault="004E3EFB" w:rsidP="004E3EF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/>
                <w:u w:val="single"/>
              </w:rPr>
            </w:pPr>
            <w:r w:rsidRPr="00E70180">
              <w:rPr>
                <w:color w:val="000000"/>
                <w:u w:val="single"/>
              </w:rPr>
              <w:t>Petro card from BPCL</w:t>
            </w:r>
          </w:p>
          <w:p w14:paraId="7C6BF0D5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All employees must be issued a </w:t>
            </w:r>
            <w:proofErr w:type="spellStart"/>
            <w:r>
              <w:rPr>
                <w:color w:val="000000"/>
              </w:rPr>
              <w:t>petro</w:t>
            </w:r>
            <w:proofErr w:type="spellEnd"/>
            <w:r>
              <w:rPr>
                <w:color w:val="000000"/>
              </w:rPr>
              <w:t xml:space="preserve"> card. Maintain zero balance. Upload balance equal to approved conveyance charges every month. All current projects and active </w:t>
            </w:r>
            <w:proofErr w:type="gramStart"/>
            <w:r>
              <w:rPr>
                <w:color w:val="000000"/>
              </w:rPr>
              <w:t>owners</w:t>
            </w:r>
            <w:proofErr w:type="gramEnd"/>
            <w:r>
              <w:rPr>
                <w:color w:val="000000"/>
              </w:rPr>
              <w:t xml:space="preserve"> associations must be issued a </w:t>
            </w:r>
            <w:proofErr w:type="spellStart"/>
            <w:r>
              <w:rPr>
                <w:color w:val="000000"/>
              </w:rPr>
              <w:t>petro</w:t>
            </w:r>
            <w:proofErr w:type="spellEnd"/>
            <w:r>
              <w:rPr>
                <w:color w:val="000000"/>
              </w:rPr>
              <w:t xml:space="preserve"> card with an approved/initial amount uploaded. Details of </w:t>
            </w:r>
            <w:proofErr w:type="spellStart"/>
            <w:r>
              <w:rPr>
                <w:color w:val="000000"/>
              </w:rPr>
              <w:t>petro</w:t>
            </w:r>
            <w:proofErr w:type="spellEnd"/>
            <w:r>
              <w:rPr>
                <w:color w:val="000000"/>
              </w:rPr>
              <w:t xml:space="preserve"> cards of projects and </w:t>
            </w:r>
            <w:proofErr w:type="gramStart"/>
            <w:r>
              <w:rPr>
                <w:color w:val="000000"/>
              </w:rPr>
              <w:t>owners</w:t>
            </w:r>
            <w:proofErr w:type="gramEnd"/>
            <w:r>
              <w:rPr>
                <w:color w:val="000000"/>
              </w:rPr>
              <w:t xml:space="preserve"> association is given in Annexure –C. (Sl. No., company/Association, project, employee, initial/approved amount).</w:t>
            </w:r>
          </w:p>
          <w:p w14:paraId="540307A6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Procedure </w:t>
            </w:r>
            <w:proofErr w:type="gramStart"/>
            <w:r>
              <w:rPr>
                <w:color w:val="000000"/>
              </w:rPr>
              <w:t>similar to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Happay</w:t>
            </w:r>
            <w:proofErr w:type="spellEnd"/>
            <w:r>
              <w:rPr>
                <w:color w:val="000000"/>
              </w:rPr>
              <w:t xml:space="preserve"> to employed for </w:t>
            </w:r>
            <w:proofErr w:type="spellStart"/>
            <w:r>
              <w:rPr>
                <w:color w:val="000000"/>
              </w:rPr>
              <w:t>petro</w:t>
            </w:r>
            <w:proofErr w:type="spellEnd"/>
            <w:r>
              <w:rPr>
                <w:color w:val="000000"/>
              </w:rPr>
              <w:t xml:space="preserve"> card. </w:t>
            </w:r>
          </w:p>
          <w:p w14:paraId="13495748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Dedicated accountant has been provided for maintaining the Axis a/c. (Vamshi). Request for transfer to </w:t>
            </w:r>
            <w:proofErr w:type="spellStart"/>
            <w:r>
              <w:rPr>
                <w:color w:val="000000"/>
              </w:rPr>
              <w:t>petro</w:t>
            </w:r>
            <w:proofErr w:type="spellEnd"/>
            <w:r>
              <w:rPr>
                <w:color w:val="000000"/>
              </w:rPr>
              <w:t xml:space="preserve"> card must be made using ‘Payment request form’. Form may be given in original or as signed scanned copy. </w:t>
            </w:r>
          </w:p>
          <w:p w14:paraId="7FA60ED0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Request for transfer to </w:t>
            </w:r>
            <w:proofErr w:type="spellStart"/>
            <w:r>
              <w:rPr>
                <w:color w:val="000000"/>
              </w:rPr>
              <w:t>petro</w:t>
            </w:r>
            <w:proofErr w:type="spellEnd"/>
            <w:r>
              <w:rPr>
                <w:color w:val="000000"/>
              </w:rPr>
              <w:t xml:space="preserve"> card must be made only by Admin. They must submit accounts by 4pm every Friday.</w:t>
            </w:r>
          </w:p>
          <w:p w14:paraId="20934178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Payment request form must be forwarded to accountant managing Axis bank accounts (Vamshi). Vamshi to forward request to accounts managers for transfer to </w:t>
            </w:r>
            <w:proofErr w:type="spellStart"/>
            <w:r>
              <w:rPr>
                <w:color w:val="000000"/>
              </w:rPr>
              <w:t>petro</w:t>
            </w:r>
            <w:proofErr w:type="spellEnd"/>
            <w:r>
              <w:rPr>
                <w:color w:val="000000"/>
              </w:rPr>
              <w:t xml:space="preserve"> card. Transfers must be done once a day before 6pm. Transfers must be made irrespective of receipts to Axis bank from respective projects. </w:t>
            </w:r>
          </w:p>
          <w:p w14:paraId="4C434E77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Accountant managing Axis bank account must make consolidated request for payment from respective company/project by 4pm every Friday. However, for large transfers more than Rs. 10,000/- payment must be requested from respective projects/company on the same day.</w:t>
            </w:r>
          </w:p>
          <w:p w14:paraId="4D261C12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Accountant must maintain separate ledger for each company/project in Axis bank a/c. Debit payments made and credit payments received from company/project. Accountants of projects/companies must maintain debit/credit balances for </w:t>
            </w:r>
            <w:proofErr w:type="spellStart"/>
            <w:r>
              <w:rPr>
                <w:color w:val="000000"/>
              </w:rPr>
              <w:t>petro</w:t>
            </w:r>
            <w:proofErr w:type="spellEnd"/>
            <w:r>
              <w:rPr>
                <w:color w:val="000000"/>
              </w:rPr>
              <w:t xml:space="preserve"> card issued to each individual or projects.</w:t>
            </w:r>
          </w:p>
          <w:p w14:paraId="4A0FCD82" w14:textId="77777777" w:rsidR="004E3EFB" w:rsidRDefault="004E3EFB" w:rsidP="004E3EFB">
            <w:pPr>
              <w:pStyle w:val="ListParagraph"/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Control panel of </w:t>
            </w:r>
            <w:proofErr w:type="spellStart"/>
            <w:r>
              <w:rPr>
                <w:color w:val="000000"/>
              </w:rPr>
              <w:t>petro</w:t>
            </w:r>
            <w:proofErr w:type="spellEnd"/>
            <w:r>
              <w:rPr>
                <w:color w:val="000000"/>
              </w:rPr>
              <w:t xml:space="preserve"> card is managed by Admin. </w:t>
            </w:r>
          </w:p>
          <w:p w14:paraId="5B4BCE70" w14:textId="77777777" w:rsidR="004E3EFB" w:rsidRDefault="004E3EFB" w:rsidP="004E3EF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The amounts mentioned in Annexure –B &amp; Annexure –C must be transferred by way of deposit from each project/company to the Axis bank a/cs. Additional Rs. 2 lakhs to be transferred to the Axis Bank a/c. in order to maintain minimum balance in the account. The details of such deposits made are given in Annexure –D (Sl. No., company/Association, project, deposit as per Annexure – B&amp; C, additional deposit for minimum balance).</w:t>
            </w:r>
          </w:p>
          <w:p w14:paraId="063B9334" w14:textId="77777777" w:rsidR="004E3EFB" w:rsidRDefault="004E3EFB" w:rsidP="004E3EF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Transfers to Axis bank account, wherever necessary must be made by RTGS. </w:t>
            </w:r>
          </w:p>
          <w:p w14:paraId="368AF6AD" w14:textId="77777777" w:rsidR="004E3EFB" w:rsidRDefault="004E3EFB" w:rsidP="004E3EF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Guidelines for payment of statutory liabilities through SBH a/c.</w:t>
            </w:r>
          </w:p>
          <w:p w14:paraId="0C261AF3" w14:textId="77777777" w:rsidR="004E3EFB" w:rsidRDefault="004E3EFB" w:rsidP="00005DEF">
            <w:pPr>
              <w:pStyle w:val="ListParagraph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a..</w:t>
            </w:r>
            <w:proofErr w:type="gramEnd"/>
          </w:p>
          <w:p w14:paraId="2CE4966C" w14:textId="77777777" w:rsidR="004E3EFB" w:rsidRDefault="004E3EFB" w:rsidP="00005DEF">
            <w:pPr>
              <w:pStyle w:val="ListParagraph"/>
              <w:jc w:val="both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  <w:p w14:paraId="586B8546" w14:textId="77777777" w:rsidR="004E3EFB" w:rsidRPr="00D0743E" w:rsidRDefault="004E3EFB" w:rsidP="00005DEF">
            <w:pPr>
              <w:pStyle w:val="ListParagraph"/>
              <w:rPr>
                <w:color w:val="000000"/>
              </w:rPr>
            </w:pPr>
          </w:p>
        </w:tc>
      </w:tr>
      <w:tr w:rsidR="004E3EFB" w:rsidRPr="00D0743E" w14:paraId="2842095B" w14:textId="77777777" w:rsidTr="004E3EFB">
        <w:trPr>
          <w:trHeight w:val="171"/>
        </w:trPr>
        <w:tc>
          <w:tcPr>
            <w:tcW w:w="9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DB46A" w14:textId="77777777" w:rsidR="004E3EFB" w:rsidRPr="003A2352" w:rsidRDefault="004E3EFB" w:rsidP="00005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Soham Modi.</w:t>
            </w:r>
          </w:p>
          <w:p w14:paraId="7B4F321A" w14:textId="77777777" w:rsidR="004E3EFB" w:rsidRPr="00D0743E" w:rsidRDefault="004E3EFB" w:rsidP="00005DEF">
            <w:pPr>
              <w:jc w:val="right"/>
              <w:rPr>
                <w:color w:val="000000"/>
              </w:rPr>
            </w:pPr>
            <w:r w:rsidRPr="00D0743E">
              <w:rPr>
                <w:color w:val="000000"/>
              </w:rPr>
              <w:tab/>
            </w:r>
          </w:p>
        </w:tc>
      </w:tr>
    </w:tbl>
    <w:p w14:paraId="086DAFEB" w14:textId="77777777" w:rsidR="004E3EFB" w:rsidRDefault="004E3EFB" w:rsidP="004E3EFB"/>
    <w:p w14:paraId="1FF37155" w14:textId="77777777" w:rsidR="004C4CBC" w:rsidRDefault="004C4CBC"/>
    <w:sectPr w:rsidR="004C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5891"/>
    <w:multiLevelType w:val="hybridMultilevel"/>
    <w:tmpl w:val="52E45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BD"/>
    <w:rsid w:val="004C4CBC"/>
    <w:rsid w:val="004E3EFB"/>
    <w:rsid w:val="004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2D3D"/>
  <w15:chartTrackingRefBased/>
  <w15:docId w15:val="{3E1C80AA-67F1-4A39-8D9A-B53EDD64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2020-09-09T17:51:00Z</cp:lastPrinted>
  <dcterms:created xsi:type="dcterms:W3CDTF">2020-09-09T17:50:00Z</dcterms:created>
  <dcterms:modified xsi:type="dcterms:W3CDTF">2020-09-09T17:51:00Z</dcterms:modified>
</cp:coreProperties>
</file>