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7403D" w14:textId="77777777" w:rsidR="00AA46EA" w:rsidRPr="00603D86" w:rsidRDefault="00AA46EA" w:rsidP="00AA46EA">
      <w:pPr>
        <w:autoSpaceDE w:val="0"/>
        <w:autoSpaceDN w:val="0"/>
        <w:adjustRightInd w:val="0"/>
      </w:pPr>
      <w:r w:rsidRPr="00603D86">
        <w:t xml:space="preserve">Circular No. 217(b) - Accounts </w:t>
      </w:r>
      <w:r w:rsidRPr="00603D86">
        <w:tab/>
      </w:r>
      <w:r w:rsidRPr="00603D86">
        <w:tab/>
      </w:r>
      <w:r w:rsidRPr="00603D86">
        <w:tab/>
      </w:r>
      <w:r w:rsidRPr="00603D86">
        <w:tab/>
      </w:r>
      <w:r w:rsidRPr="00603D86">
        <w:tab/>
      </w:r>
      <w:r w:rsidRPr="00603D86">
        <w:tab/>
        <w:t>Date: 17.04.2017</w:t>
      </w:r>
    </w:p>
    <w:p w14:paraId="6F385380" w14:textId="77777777" w:rsidR="00AA46EA" w:rsidRPr="00603D86" w:rsidRDefault="00AA46EA" w:rsidP="00AA46EA">
      <w:pPr>
        <w:autoSpaceDE w:val="0"/>
        <w:autoSpaceDN w:val="0"/>
        <w:adjustRightInd w:val="0"/>
      </w:pPr>
    </w:p>
    <w:p w14:paraId="5EE8528E" w14:textId="77777777" w:rsidR="00AA46EA" w:rsidRPr="00603D86" w:rsidRDefault="00AA46EA" w:rsidP="00AA46EA">
      <w:pPr>
        <w:autoSpaceDE w:val="0"/>
        <w:autoSpaceDN w:val="0"/>
        <w:adjustRightInd w:val="0"/>
      </w:pPr>
      <w:proofErr w:type="gramStart"/>
      <w:r w:rsidRPr="00603D86">
        <w:t>Sub :</w:t>
      </w:r>
      <w:proofErr w:type="gramEnd"/>
      <w:r w:rsidRPr="00603D86">
        <w:t xml:space="preserve"> </w:t>
      </w:r>
      <w:proofErr w:type="spellStart"/>
      <w:r w:rsidRPr="00603D86">
        <w:t>Happay</w:t>
      </w:r>
      <w:proofErr w:type="spellEnd"/>
      <w:r w:rsidRPr="00603D86">
        <w:t xml:space="preserve"> Cards – standard operating procedure</w:t>
      </w:r>
    </w:p>
    <w:p w14:paraId="11B3F192" w14:textId="77777777" w:rsidR="00AA46EA" w:rsidRPr="00603D86" w:rsidRDefault="00AA46EA" w:rsidP="00AA46EA">
      <w:pPr>
        <w:autoSpaceDE w:val="0"/>
        <w:autoSpaceDN w:val="0"/>
        <w:adjustRightInd w:val="0"/>
      </w:pPr>
    </w:p>
    <w:p w14:paraId="3F473BAA" w14:textId="77777777" w:rsidR="00AA46EA" w:rsidRPr="00603D86" w:rsidRDefault="00AA46EA" w:rsidP="00AA46EA">
      <w:pPr>
        <w:pStyle w:val="ListParagraph"/>
        <w:numPr>
          <w:ilvl w:val="0"/>
          <w:numId w:val="1"/>
        </w:numPr>
        <w:autoSpaceDE w:val="0"/>
        <w:autoSpaceDN w:val="0"/>
        <w:adjustRightInd w:val="0"/>
        <w:spacing w:line="276" w:lineRule="auto"/>
        <w:jc w:val="both"/>
      </w:pPr>
      <w:proofErr w:type="spellStart"/>
      <w:r w:rsidRPr="00603D86">
        <w:t>Happay</w:t>
      </w:r>
      <w:proofErr w:type="spellEnd"/>
      <w:r w:rsidRPr="00603D86">
        <w:t xml:space="preserve"> cards are pre-paid cards and the operation is </w:t>
      </w:r>
      <w:proofErr w:type="gramStart"/>
      <w:r w:rsidRPr="00603D86">
        <w:t>similar to</w:t>
      </w:r>
      <w:proofErr w:type="gramEnd"/>
      <w:r w:rsidRPr="00603D86">
        <w:t xml:space="preserve"> credit &amp; debit cards. Cash can be withdrawn from any ATM and online payments can be made through the cards. However, they can be used only </w:t>
      </w:r>
      <w:proofErr w:type="spellStart"/>
      <w:r w:rsidRPr="00603D86">
        <w:t>upto</w:t>
      </w:r>
      <w:proofErr w:type="spellEnd"/>
      <w:r w:rsidRPr="00603D86">
        <w:t xml:space="preserve"> the amounts pre-deposited in each card.</w:t>
      </w:r>
    </w:p>
    <w:p w14:paraId="2AC8C97E" w14:textId="77777777" w:rsidR="00AA46EA" w:rsidRPr="00603D86" w:rsidRDefault="00AA46EA" w:rsidP="00AA46EA">
      <w:pPr>
        <w:pStyle w:val="ListParagraph"/>
        <w:numPr>
          <w:ilvl w:val="0"/>
          <w:numId w:val="1"/>
        </w:numPr>
        <w:autoSpaceDE w:val="0"/>
        <w:autoSpaceDN w:val="0"/>
        <w:adjustRightInd w:val="0"/>
        <w:spacing w:line="276" w:lineRule="auto"/>
        <w:jc w:val="both"/>
      </w:pPr>
      <w:r w:rsidRPr="00603D86">
        <w:t xml:space="preserve">Two sets of </w:t>
      </w:r>
      <w:proofErr w:type="spellStart"/>
      <w:r w:rsidRPr="00603D86">
        <w:t>Happay</w:t>
      </w:r>
      <w:proofErr w:type="spellEnd"/>
      <w:r w:rsidRPr="00603D86">
        <w:t xml:space="preserve"> cards have been taken. One set is issued from account of Modi Properties and the second said from the account of Modi Housing.</w:t>
      </w:r>
    </w:p>
    <w:p w14:paraId="73E6AD5A" w14:textId="77777777" w:rsidR="00AA46EA" w:rsidRPr="00603D86" w:rsidRDefault="00AA46EA" w:rsidP="00AA46EA">
      <w:pPr>
        <w:pStyle w:val="ListParagraph"/>
        <w:numPr>
          <w:ilvl w:val="0"/>
          <w:numId w:val="1"/>
        </w:numPr>
        <w:autoSpaceDE w:val="0"/>
        <w:autoSpaceDN w:val="0"/>
        <w:adjustRightInd w:val="0"/>
        <w:spacing w:line="276" w:lineRule="auto"/>
        <w:jc w:val="both"/>
      </w:pPr>
      <w:r w:rsidRPr="00603D86">
        <w:t xml:space="preserve">The </w:t>
      </w:r>
      <w:proofErr w:type="spellStart"/>
      <w:r w:rsidRPr="00603D86">
        <w:t>Happay</w:t>
      </w:r>
      <w:proofErr w:type="spellEnd"/>
      <w:r w:rsidRPr="00603D86">
        <w:t xml:space="preserve"> cards are to be used only for the purposes given below. They cannot be used for purchase of petrol and diesel. For petrol and diesel </w:t>
      </w:r>
      <w:proofErr w:type="spellStart"/>
      <w:r w:rsidRPr="00603D86">
        <w:t>petro</w:t>
      </w:r>
      <w:proofErr w:type="spellEnd"/>
      <w:r w:rsidRPr="00603D86">
        <w:t xml:space="preserve"> card must be used. They also cannot be used for personal expenditure or salary advances. For any other use prior approval of admin manager or accounts manager is required.</w:t>
      </w:r>
    </w:p>
    <w:p w14:paraId="739559F1" w14:textId="77777777" w:rsidR="00AA46EA" w:rsidRPr="00603D86" w:rsidRDefault="00AA46EA" w:rsidP="00AA46EA">
      <w:pPr>
        <w:pStyle w:val="ListParagraph"/>
        <w:numPr>
          <w:ilvl w:val="0"/>
          <w:numId w:val="2"/>
        </w:numPr>
        <w:autoSpaceDE w:val="0"/>
        <w:autoSpaceDN w:val="0"/>
        <w:adjustRightInd w:val="0"/>
        <w:spacing w:line="276" w:lineRule="auto"/>
        <w:jc w:val="both"/>
      </w:pPr>
      <w:r w:rsidRPr="00603D86">
        <w:t>Withdrawal of petty cash</w:t>
      </w:r>
    </w:p>
    <w:p w14:paraId="43A86351" w14:textId="77777777" w:rsidR="00AA46EA" w:rsidRPr="00603D86" w:rsidRDefault="00AA46EA" w:rsidP="00AA46EA">
      <w:pPr>
        <w:pStyle w:val="ListParagraph"/>
        <w:numPr>
          <w:ilvl w:val="0"/>
          <w:numId w:val="2"/>
        </w:numPr>
        <w:autoSpaceDE w:val="0"/>
        <w:autoSpaceDN w:val="0"/>
        <w:adjustRightInd w:val="0"/>
        <w:spacing w:line="276" w:lineRule="auto"/>
        <w:jc w:val="both"/>
      </w:pPr>
      <w:r w:rsidRPr="00603D86">
        <w:t>Online purchases</w:t>
      </w:r>
    </w:p>
    <w:p w14:paraId="2DF70281" w14:textId="77777777" w:rsidR="00AA46EA" w:rsidRPr="00603D86" w:rsidRDefault="00AA46EA" w:rsidP="00AA46EA">
      <w:pPr>
        <w:pStyle w:val="ListParagraph"/>
        <w:numPr>
          <w:ilvl w:val="0"/>
          <w:numId w:val="2"/>
        </w:numPr>
        <w:autoSpaceDE w:val="0"/>
        <w:autoSpaceDN w:val="0"/>
        <w:adjustRightInd w:val="0"/>
        <w:spacing w:line="276" w:lineRule="auto"/>
        <w:jc w:val="both"/>
      </w:pPr>
      <w:r w:rsidRPr="00603D86">
        <w:t>Payment for local purchases</w:t>
      </w:r>
    </w:p>
    <w:p w14:paraId="7827CDCD" w14:textId="77777777" w:rsidR="00AA46EA" w:rsidRPr="00603D86" w:rsidRDefault="00AA46EA" w:rsidP="00AA46EA">
      <w:pPr>
        <w:pStyle w:val="ListParagraph"/>
        <w:numPr>
          <w:ilvl w:val="0"/>
          <w:numId w:val="2"/>
        </w:numPr>
        <w:autoSpaceDE w:val="0"/>
        <w:autoSpaceDN w:val="0"/>
        <w:adjustRightInd w:val="0"/>
        <w:spacing w:line="276" w:lineRule="auto"/>
        <w:jc w:val="both"/>
      </w:pPr>
      <w:r w:rsidRPr="00603D86">
        <w:t>Payment for emergency medical care</w:t>
      </w:r>
    </w:p>
    <w:p w14:paraId="2A0F217E" w14:textId="77777777" w:rsidR="00AA46EA" w:rsidRPr="00603D86" w:rsidRDefault="00AA46EA" w:rsidP="00AA46EA">
      <w:pPr>
        <w:pStyle w:val="ListParagraph"/>
        <w:numPr>
          <w:ilvl w:val="0"/>
          <w:numId w:val="2"/>
        </w:numPr>
        <w:autoSpaceDE w:val="0"/>
        <w:autoSpaceDN w:val="0"/>
        <w:adjustRightInd w:val="0"/>
        <w:spacing w:line="276" w:lineRule="auto"/>
        <w:jc w:val="both"/>
      </w:pPr>
      <w:r w:rsidRPr="00603D86">
        <w:t>Tour &amp; travelling expenses</w:t>
      </w:r>
    </w:p>
    <w:p w14:paraId="2184A788" w14:textId="77777777" w:rsidR="00AA46EA" w:rsidRPr="00603D86" w:rsidRDefault="00AA46EA" w:rsidP="00AA46EA">
      <w:pPr>
        <w:pStyle w:val="ListParagraph"/>
        <w:autoSpaceDE w:val="0"/>
        <w:autoSpaceDN w:val="0"/>
        <w:adjustRightInd w:val="0"/>
        <w:ind w:left="1080"/>
        <w:jc w:val="both"/>
      </w:pPr>
    </w:p>
    <w:p w14:paraId="791BCE31" w14:textId="77777777" w:rsidR="00AA46EA" w:rsidRPr="00603D86" w:rsidRDefault="00AA46EA" w:rsidP="00AA46EA">
      <w:pPr>
        <w:pStyle w:val="ListParagraph"/>
        <w:numPr>
          <w:ilvl w:val="0"/>
          <w:numId w:val="1"/>
        </w:numPr>
        <w:autoSpaceDE w:val="0"/>
        <w:autoSpaceDN w:val="0"/>
        <w:adjustRightInd w:val="0"/>
        <w:spacing w:line="276" w:lineRule="auto"/>
        <w:jc w:val="both"/>
      </w:pPr>
      <w:r w:rsidRPr="00603D86">
        <w:t xml:space="preserve">Each project shall deposit the following amounts in the Axis bank account of Modi Properties &amp; Modi Housing. These accounts are being maintained by Accountant </w:t>
      </w:r>
      <w:r>
        <w:t xml:space="preserve">    </w:t>
      </w:r>
      <w:r w:rsidRPr="00603D86">
        <w:t xml:space="preserve">Mr. Vamshi. The Axis bank account is also being used for common expenditure across all projects and for refilling of </w:t>
      </w:r>
      <w:proofErr w:type="spellStart"/>
      <w:r w:rsidRPr="00603D86">
        <w:t>petro</w:t>
      </w:r>
      <w:proofErr w:type="spellEnd"/>
      <w:r w:rsidRPr="00603D86">
        <w:t xml:space="preserve"> cards.</w:t>
      </w:r>
    </w:p>
    <w:p w14:paraId="3AC21A13" w14:textId="77777777" w:rsidR="00AA46EA" w:rsidRPr="00603D86" w:rsidRDefault="00AA46EA" w:rsidP="00AA46EA">
      <w:pPr>
        <w:autoSpaceDE w:val="0"/>
        <w:autoSpaceDN w:val="0"/>
        <w:adjustRightInd w:val="0"/>
      </w:pPr>
    </w:p>
    <w:tbl>
      <w:tblPr>
        <w:tblpPr w:leftFromText="180" w:rightFromText="180" w:vertAnchor="text" w:horzAnchor="page" w:tblpX="1806"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1945"/>
        <w:gridCol w:w="2371"/>
        <w:gridCol w:w="2596"/>
      </w:tblGrid>
      <w:tr w:rsidR="00AA46EA" w:rsidRPr="00603D86" w14:paraId="2EF69A30" w14:textId="77777777" w:rsidTr="00005DEF">
        <w:trPr>
          <w:trHeight w:val="173"/>
        </w:trPr>
        <w:tc>
          <w:tcPr>
            <w:tcW w:w="984" w:type="dxa"/>
            <w:noWrap/>
            <w:hideMark/>
          </w:tcPr>
          <w:p w14:paraId="436F1083" w14:textId="77777777" w:rsidR="00AA46EA" w:rsidRPr="003B798F" w:rsidRDefault="00AA46EA" w:rsidP="00005DEF">
            <w:pPr>
              <w:contextualSpacing/>
              <w:rPr>
                <w:b/>
                <w:color w:val="000000"/>
              </w:rPr>
            </w:pPr>
            <w:r w:rsidRPr="003B798F">
              <w:rPr>
                <w:b/>
                <w:color w:val="000000"/>
              </w:rPr>
              <w:tab/>
            </w:r>
            <w:proofErr w:type="spellStart"/>
            <w:r w:rsidRPr="003B798F">
              <w:rPr>
                <w:b/>
                <w:color w:val="000000"/>
              </w:rPr>
              <w:t>S.No</w:t>
            </w:r>
            <w:proofErr w:type="spellEnd"/>
            <w:r w:rsidRPr="003B798F">
              <w:rPr>
                <w:b/>
                <w:color w:val="000000"/>
              </w:rPr>
              <w:t>.</w:t>
            </w:r>
          </w:p>
        </w:tc>
        <w:tc>
          <w:tcPr>
            <w:tcW w:w="1945" w:type="dxa"/>
            <w:noWrap/>
            <w:hideMark/>
          </w:tcPr>
          <w:p w14:paraId="16D9419E" w14:textId="77777777" w:rsidR="00AA46EA" w:rsidRPr="003B798F" w:rsidRDefault="00AA46EA" w:rsidP="00005DEF">
            <w:pPr>
              <w:ind w:left="106"/>
              <w:contextualSpacing/>
              <w:rPr>
                <w:b/>
                <w:color w:val="000000"/>
              </w:rPr>
            </w:pPr>
            <w:r w:rsidRPr="003B798F">
              <w:rPr>
                <w:b/>
                <w:color w:val="000000"/>
              </w:rPr>
              <w:t>Project/Firm</w:t>
            </w:r>
          </w:p>
        </w:tc>
        <w:tc>
          <w:tcPr>
            <w:tcW w:w="2371" w:type="dxa"/>
            <w:noWrap/>
            <w:hideMark/>
          </w:tcPr>
          <w:p w14:paraId="27B6FD94" w14:textId="77777777" w:rsidR="00AA46EA" w:rsidRPr="003B798F" w:rsidRDefault="00AA46EA" w:rsidP="00005DEF">
            <w:pPr>
              <w:ind w:left="106"/>
              <w:contextualSpacing/>
              <w:rPr>
                <w:b/>
                <w:color w:val="000000"/>
              </w:rPr>
            </w:pPr>
            <w:r w:rsidRPr="003B798F">
              <w:rPr>
                <w:b/>
                <w:color w:val="000000"/>
              </w:rPr>
              <w:t xml:space="preserve">Deposit in </w:t>
            </w:r>
            <w:proofErr w:type="spellStart"/>
            <w:r w:rsidRPr="003B798F">
              <w:rPr>
                <w:b/>
                <w:color w:val="000000"/>
              </w:rPr>
              <w:t>favour</w:t>
            </w:r>
            <w:proofErr w:type="spellEnd"/>
          </w:p>
        </w:tc>
        <w:tc>
          <w:tcPr>
            <w:tcW w:w="2596" w:type="dxa"/>
            <w:noWrap/>
            <w:hideMark/>
          </w:tcPr>
          <w:p w14:paraId="322ACC91" w14:textId="77777777" w:rsidR="00AA46EA" w:rsidRPr="003B798F" w:rsidRDefault="00AA46EA" w:rsidP="00005DEF">
            <w:pPr>
              <w:ind w:left="106"/>
              <w:contextualSpacing/>
              <w:jc w:val="center"/>
              <w:rPr>
                <w:b/>
                <w:color w:val="000000"/>
              </w:rPr>
            </w:pPr>
            <w:r w:rsidRPr="003B798F">
              <w:rPr>
                <w:b/>
                <w:color w:val="000000"/>
              </w:rPr>
              <w:t>Amount</w:t>
            </w:r>
          </w:p>
        </w:tc>
      </w:tr>
      <w:tr w:rsidR="00AA46EA" w:rsidRPr="00603D86" w14:paraId="380C6D17" w14:textId="77777777" w:rsidTr="00005DEF">
        <w:trPr>
          <w:trHeight w:val="173"/>
        </w:trPr>
        <w:tc>
          <w:tcPr>
            <w:tcW w:w="984" w:type="dxa"/>
            <w:noWrap/>
            <w:hideMark/>
          </w:tcPr>
          <w:p w14:paraId="4585F02A" w14:textId="77777777" w:rsidR="00AA46EA" w:rsidRPr="003B798F" w:rsidRDefault="00AA46EA" w:rsidP="00005DEF">
            <w:pPr>
              <w:contextualSpacing/>
              <w:jc w:val="center"/>
              <w:rPr>
                <w:color w:val="000000"/>
              </w:rPr>
            </w:pPr>
            <w:r w:rsidRPr="003B798F">
              <w:rPr>
                <w:color w:val="000000"/>
              </w:rPr>
              <w:t>1</w:t>
            </w:r>
          </w:p>
        </w:tc>
        <w:tc>
          <w:tcPr>
            <w:tcW w:w="1945" w:type="dxa"/>
            <w:noWrap/>
            <w:hideMark/>
          </w:tcPr>
          <w:p w14:paraId="3E5B5519" w14:textId="77777777" w:rsidR="00AA46EA" w:rsidRPr="003B798F" w:rsidRDefault="00AA46EA" w:rsidP="00005DEF">
            <w:pPr>
              <w:ind w:left="106"/>
              <w:contextualSpacing/>
              <w:rPr>
                <w:color w:val="000000"/>
              </w:rPr>
            </w:pPr>
            <w:r w:rsidRPr="003B798F">
              <w:rPr>
                <w:color w:val="000000"/>
              </w:rPr>
              <w:t>BNC</w:t>
            </w:r>
          </w:p>
        </w:tc>
        <w:tc>
          <w:tcPr>
            <w:tcW w:w="2371" w:type="dxa"/>
            <w:noWrap/>
            <w:hideMark/>
          </w:tcPr>
          <w:p w14:paraId="50DC71C1" w14:textId="77777777" w:rsidR="00AA46EA" w:rsidRPr="003B798F" w:rsidRDefault="00AA46EA" w:rsidP="00005DEF">
            <w:pPr>
              <w:ind w:left="106"/>
              <w:contextualSpacing/>
              <w:rPr>
                <w:color w:val="000000"/>
              </w:rPr>
            </w:pPr>
            <w:r w:rsidRPr="003B798F">
              <w:rPr>
                <w:color w:val="000000"/>
              </w:rPr>
              <w:t>MPPL</w:t>
            </w:r>
          </w:p>
        </w:tc>
        <w:tc>
          <w:tcPr>
            <w:tcW w:w="2596" w:type="dxa"/>
            <w:noWrap/>
            <w:hideMark/>
          </w:tcPr>
          <w:p w14:paraId="3404D281" w14:textId="77777777" w:rsidR="00AA46EA" w:rsidRPr="003B798F" w:rsidRDefault="00AA46EA" w:rsidP="00005DEF">
            <w:pPr>
              <w:ind w:left="106"/>
              <w:contextualSpacing/>
              <w:jc w:val="center"/>
              <w:rPr>
                <w:color w:val="000000"/>
              </w:rPr>
            </w:pPr>
            <w:r w:rsidRPr="003B798F">
              <w:rPr>
                <w:color w:val="000000"/>
              </w:rPr>
              <w:t>90,000</w:t>
            </w:r>
          </w:p>
        </w:tc>
      </w:tr>
      <w:tr w:rsidR="00AA46EA" w:rsidRPr="00603D86" w14:paraId="51F96125" w14:textId="77777777" w:rsidTr="00005DEF">
        <w:trPr>
          <w:trHeight w:val="173"/>
        </w:trPr>
        <w:tc>
          <w:tcPr>
            <w:tcW w:w="984" w:type="dxa"/>
            <w:noWrap/>
            <w:hideMark/>
          </w:tcPr>
          <w:p w14:paraId="4FC1D71B" w14:textId="77777777" w:rsidR="00AA46EA" w:rsidRPr="003B798F" w:rsidRDefault="00AA46EA" w:rsidP="00005DEF">
            <w:pPr>
              <w:contextualSpacing/>
              <w:jc w:val="center"/>
              <w:rPr>
                <w:color w:val="000000"/>
              </w:rPr>
            </w:pPr>
            <w:r w:rsidRPr="003B798F">
              <w:rPr>
                <w:color w:val="000000"/>
              </w:rPr>
              <w:t>2</w:t>
            </w:r>
          </w:p>
        </w:tc>
        <w:tc>
          <w:tcPr>
            <w:tcW w:w="1945" w:type="dxa"/>
            <w:noWrap/>
            <w:hideMark/>
          </w:tcPr>
          <w:p w14:paraId="5A661926" w14:textId="77777777" w:rsidR="00AA46EA" w:rsidRPr="003B798F" w:rsidRDefault="00AA46EA" w:rsidP="00005DEF">
            <w:pPr>
              <w:ind w:left="106"/>
              <w:contextualSpacing/>
              <w:rPr>
                <w:color w:val="000000"/>
              </w:rPr>
            </w:pPr>
            <w:r w:rsidRPr="003B798F">
              <w:rPr>
                <w:color w:val="000000"/>
              </w:rPr>
              <w:t>GLS</w:t>
            </w:r>
          </w:p>
        </w:tc>
        <w:tc>
          <w:tcPr>
            <w:tcW w:w="2371" w:type="dxa"/>
            <w:noWrap/>
            <w:hideMark/>
          </w:tcPr>
          <w:p w14:paraId="19DFA7B1" w14:textId="77777777" w:rsidR="00AA46EA" w:rsidRPr="003B798F" w:rsidRDefault="00AA46EA" w:rsidP="00005DEF">
            <w:pPr>
              <w:ind w:left="106"/>
              <w:contextualSpacing/>
              <w:rPr>
                <w:color w:val="000000"/>
              </w:rPr>
            </w:pPr>
            <w:r w:rsidRPr="003B798F">
              <w:rPr>
                <w:color w:val="000000"/>
              </w:rPr>
              <w:t>MHPL</w:t>
            </w:r>
          </w:p>
        </w:tc>
        <w:tc>
          <w:tcPr>
            <w:tcW w:w="2596" w:type="dxa"/>
            <w:noWrap/>
            <w:hideMark/>
          </w:tcPr>
          <w:p w14:paraId="3430DF75" w14:textId="77777777" w:rsidR="00AA46EA" w:rsidRPr="003B798F" w:rsidRDefault="00AA46EA" w:rsidP="00005DEF">
            <w:pPr>
              <w:ind w:left="106"/>
              <w:contextualSpacing/>
              <w:jc w:val="center"/>
              <w:rPr>
                <w:color w:val="000000"/>
              </w:rPr>
            </w:pPr>
            <w:r w:rsidRPr="003B798F">
              <w:rPr>
                <w:color w:val="000000"/>
              </w:rPr>
              <w:t>10,000</w:t>
            </w:r>
          </w:p>
        </w:tc>
      </w:tr>
      <w:tr w:rsidR="00AA46EA" w:rsidRPr="00603D86" w14:paraId="4B1CC4B6" w14:textId="77777777" w:rsidTr="00005DEF">
        <w:trPr>
          <w:trHeight w:val="173"/>
        </w:trPr>
        <w:tc>
          <w:tcPr>
            <w:tcW w:w="984" w:type="dxa"/>
            <w:noWrap/>
            <w:hideMark/>
          </w:tcPr>
          <w:p w14:paraId="6710B9E1" w14:textId="77777777" w:rsidR="00AA46EA" w:rsidRPr="003B798F" w:rsidRDefault="00AA46EA" w:rsidP="00005DEF">
            <w:pPr>
              <w:contextualSpacing/>
              <w:jc w:val="center"/>
              <w:rPr>
                <w:color w:val="000000"/>
              </w:rPr>
            </w:pPr>
            <w:r w:rsidRPr="003B798F">
              <w:rPr>
                <w:color w:val="000000"/>
              </w:rPr>
              <w:t>3</w:t>
            </w:r>
          </w:p>
        </w:tc>
        <w:tc>
          <w:tcPr>
            <w:tcW w:w="1945" w:type="dxa"/>
            <w:noWrap/>
            <w:hideMark/>
          </w:tcPr>
          <w:p w14:paraId="07B7ED18" w14:textId="77777777" w:rsidR="00AA46EA" w:rsidRPr="003B798F" w:rsidRDefault="00AA46EA" w:rsidP="00005DEF">
            <w:pPr>
              <w:ind w:left="106"/>
              <w:contextualSpacing/>
              <w:rPr>
                <w:color w:val="000000"/>
              </w:rPr>
            </w:pPr>
            <w:r w:rsidRPr="003B798F">
              <w:rPr>
                <w:color w:val="000000"/>
              </w:rPr>
              <w:t>GWE</w:t>
            </w:r>
          </w:p>
        </w:tc>
        <w:tc>
          <w:tcPr>
            <w:tcW w:w="2371" w:type="dxa"/>
            <w:noWrap/>
            <w:hideMark/>
          </w:tcPr>
          <w:p w14:paraId="360F6AF7" w14:textId="77777777" w:rsidR="00AA46EA" w:rsidRPr="003B798F" w:rsidRDefault="00AA46EA" w:rsidP="00005DEF">
            <w:pPr>
              <w:ind w:left="106"/>
              <w:contextualSpacing/>
              <w:rPr>
                <w:color w:val="000000"/>
              </w:rPr>
            </w:pPr>
            <w:r w:rsidRPr="003B798F">
              <w:rPr>
                <w:color w:val="000000"/>
              </w:rPr>
              <w:t>MPPL</w:t>
            </w:r>
          </w:p>
        </w:tc>
        <w:tc>
          <w:tcPr>
            <w:tcW w:w="2596" w:type="dxa"/>
            <w:noWrap/>
            <w:hideMark/>
          </w:tcPr>
          <w:p w14:paraId="088756E2" w14:textId="77777777" w:rsidR="00AA46EA" w:rsidRPr="003B798F" w:rsidRDefault="00AA46EA" w:rsidP="00005DEF">
            <w:pPr>
              <w:ind w:left="106"/>
              <w:contextualSpacing/>
              <w:jc w:val="center"/>
              <w:rPr>
                <w:color w:val="000000"/>
              </w:rPr>
            </w:pPr>
            <w:r w:rsidRPr="003B798F">
              <w:rPr>
                <w:color w:val="000000"/>
              </w:rPr>
              <w:t>10,000</w:t>
            </w:r>
          </w:p>
        </w:tc>
      </w:tr>
      <w:tr w:rsidR="00AA46EA" w:rsidRPr="00603D86" w14:paraId="3824EBBD" w14:textId="77777777" w:rsidTr="00005DEF">
        <w:trPr>
          <w:trHeight w:val="173"/>
        </w:trPr>
        <w:tc>
          <w:tcPr>
            <w:tcW w:w="984" w:type="dxa"/>
            <w:noWrap/>
            <w:hideMark/>
          </w:tcPr>
          <w:p w14:paraId="29B36531" w14:textId="77777777" w:rsidR="00AA46EA" w:rsidRPr="003B798F" w:rsidRDefault="00AA46EA" w:rsidP="00005DEF">
            <w:pPr>
              <w:contextualSpacing/>
              <w:jc w:val="center"/>
              <w:rPr>
                <w:color w:val="000000"/>
              </w:rPr>
            </w:pPr>
            <w:r w:rsidRPr="003B798F">
              <w:rPr>
                <w:color w:val="000000"/>
              </w:rPr>
              <w:t>4</w:t>
            </w:r>
          </w:p>
        </w:tc>
        <w:tc>
          <w:tcPr>
            <w:tcW w:w="1945" w:type="dxa"/>
            <w:noWrap/>
            <w:hideMark/>
          </w:tcPr>
          <w:p w14:paraId="623DD1EE" w14:textId="77777777" w:rsidR="00AA46EA" w:rsidRPr="003B798F" w:rsidRDefault="00AA46EA" w:rsidP="00005DEF">
            <w:pPr>
              <w:ind w:left="106"/>
              <w:contextualSpacing/>
              <w:rPr>
                <w:color w:val="000000"/>
              </w:rPr>
            </w:pPr>
            <w:r w:rsidRPr="003B798F">
              <w:rPr>
                <w:color w:val="000000"/>
              </w:rPr>
              <w:t>KNM</w:t>
            </w:r>
          </w:p>
        </w:tc>
        <w:tc>
          <w:tcPr>
            <w:tcW w:w="2371" w:type="dxa"/>
            <w:noWrap/>
            <w:hideMark/>
          </w:tcPr>
          <w:p w14:paraId="78AB7C16" w14:textId="77777777" w:rsidR="00AA46EA" w:rsidRPr="003B798F" w:rsidRDefault="00AA46EA" w:rsidP="00005DEF">
            <w:pPr>
              <w:ind w:left="106"/>
              <w:contextualSpacing/>
              <w:rPr>
                <w:color w:val="000000"/>
              </w:rPr>
            </w:pPr>
            <w:r w:rsidRPr="003B798F">
              <w:rPr>
                <w:color w:val="000000"/>
              </w:rPr>
              <w:t>MPPL</w:t>
            </w:r>
          </w:p>
        </w:tc>
        <w:tc>
          <w:tcPr>
            <w:tcW w:w="2596" w:type="dxa"/>
            <w:noWrap/>
            <w:hideMark/>
          </w:tcPr>
          <w:p w14:paraId="65C45605" w14:textId="77777777" w:rsidR="00AA46EA" w:rsidRPr="003B798F" w:rsidRDefault="00AA46EA" w:rsidP="00005DEF">
            <w:pPr>
              <w:ind w:left="106"/>
              <w:contextualSpacing/>
              <w:jc w:val="center"/>
              <w:rPr>
                <w:color w:val="000000"/>
              </w:rPr>
            </w:pPr>
            <w:r w:rsidRPr="003B798F">
              <w:rPr>
                <w:color w:val="000000"/>
              </w:rPr>
              <w:t>25,000</w:t>
            </w:r>
          </w:p>
        </w:tc>
      </w:tr>
      <w:tr w:rsidR="00AA46EA" w:rsidRPr="00603D86" w14:paraId="5B5B705A" w14:textId="77777777" w:rsidTr="00005DEF">
        <w:trPr>
          <w:trHeight w:val="173"/>
        </w:trPr>
        <w:tc>
          <w:tcPr>
            <w:tcW w:w="984" w:type="dxa"/>
            <w:noWrap/>
            <w:hideMark/>
          </w:tcPr>
          <w:p w14:paraId="7B74770A" w14:textId="77777777" w:rsidR="00AA46EA" w:rsidRPr="003B798F" w:rsidRDefault="00AA46EA" w:rsidP="00005DEF">
            <w:pPr>
              <w:contextualSpacing/>
              <w:jc w:val="center"/>
              <w:rPr>
                <w:color w:val="000000"/>
              </w:rPr>
            </w:pPr>
            <w:r w:rsidRPr="003B798F">
              <w:rPr>
                <w:color w:val="000000"/>
              </w:rPr>
              <w:t>5</w:t>
            </w:r>
          </w:p>
        </w:tc>
        <w:tc>
          <w:tcPr>
            <w:tcW w:w="1945" w:type="dxa"/>
            <w:noWrap/>
            <w:hideMark/>
          </w:tcPr>
          <w:p w14:paraId="3E07C27A" w14:textId="77777777" w:rsidR="00AA46EA" w:rsidRPr="003B798F" w:rsidRDefault="00AA46EA" w:rsidP="00005DEF">
            <w:pPr>
              <w:ind w:left="106"/>
              <w:contextualSpacing/>
              <w:rPr>
                <w:color w:val="000000"/>
              </w:rPr>
            </w:pPr>
            <w:r w:rsidRPr="003B798F">
              <w:rPr>
                <w:color w:val="000000"/>
              </w:rPr>
              <w:t>MBMC</w:t>
            </w:r>
          </w:p>
        </w:tc>
        <w:tc>
          <w:tcPr>
            <w:tcW w:w="2371" w:type="dxa"/>
            <w:noWrap/>
            <w:hideMark/>
          </w:tcPr>
          <w:p w14:paraId="4ABCA84C" w14:textId="77777777" w:rsidR="00AA46EA" w:rsidRPr="003B798F" w:rsidRDefault="00AA46EA" w:rsidP="00005DEF">
            <w:pPr>
              <w:ind w:left="106"/>
              <w:contextualSpacing/>
              <w:rPr>
                <w:color w:val="000000"/>
              </w:rPr>
            </w:pPr>
            <w:r w:rsidRPr="003B798F">
              <w:rPr>
                <w:color w:val="000000"/>
              </w:rPr>
              <w:t>MPPL</w:t>
            </w:r>
          </w:p>
        </w:tc>
        <w:tc>
          <w:tcPr>
            <w:tcW w:w="2596" w:type="dxa"/>
            <w:noWrap/>
            <w:hideMark/>
          </w:tcPr>
          <w:p w14:paraId="42914D9E" w14:textId="77777777" w:rsidR="00AA46EA" w:rsidRPr="003B798F" w:rsidRDefault="00AA46EA" w:rsidP="00005DEF">
            <w:pPr>
              <w:ind w:left="106"/>
              <w:contextualSpacing/>
              <w:jc w:val="center"/>
              <w:rPr>
                <w:color w:val="000000"/>
              </w:rPr>
            </w:pPr>
            <w:r w:rsidRPr="003B798F">
              <w:rPr>
                <w:color w:val="000000"/>
              </w:rPr>
              <w:t>10,000</w:t>
            </w:r>
          </w:p>
        </w:tc>
      </w:tr>
      <w:tr w:rsidR="00AA46EA" w:rsidRPr="00603D86" w14:paraId="55051163" w14:textId="77777777" w:rsidTr="00005DEF">
        <w:trPr>
          <w:trHeight w:val="173"/>
        </w:trPr>
        <w:tc>
          <w:tcPr>
            <w:tcW w:w="984" w:type="dxa"/>
            <w:noWrap/>
            <w:hideMark/>
          </w:tcPr>
          <w:p w14:paraId="5DF2113F" w14:textId="77777777" w:rsidR="00AA46EA" w:rsidRPr="003B798F" w:rsidRDefault="00AA46EA" w:rsidP="00005DEF">
            <w:pPr>
              <w:contextualSpacing/>
              <w:jc w:val="center"/>
              <w:rPr>
                <w:color w:val="000000"/>
              </w:rPr>
            </w:pPr>
            <w:r w:rsidRPr="003B798F">
              <w:rPr>
                <w:color w:val="000000"/>
              </w:rPr>
              <w:t>6</w:t>
            </w:r>
          </w:p>
        </w:tc>
        <w:tc>
          <w:tcPr>
            <w:tcW w:w="1945" w:type="dxa"/>
            <w:noWrap/>
            <w:hideMark/>
          </w:tcPr>
          <w:p w14:paraId="2A8C94F3" w14:textId="77777777" w:rsidR="00AA46EA" w:rsidRPr="003B798F" w:rsidRDefault="00AA46EA" w:rsidP="00005DEF">
            <w:pPr>
              <w:ind w:left="106"/>
              <w:contextualSpacing/>
              <w:rPr>
                <w:color w:val="000000"/>
              </w:rPr>
            </w:pPr>
            <w:r w:rsidRPr="003B798F">
              <w:rPr>
                <w:color w:val="000000"/>
              </w:rPr>
              <w:t>MCS</w:t>
            </w:r>
          </w:p>
        </w:tc>
        <w:tc>
          <w:tcPr>
            <w:tcW w:w="2371" w:type="dxa"/>
            <w:noWrap/>
            <w:hideMark/>
          </w:tcPr>
          <w:p w14:paraId="6E3AF9CD" w14:textId="77777777" w:rsidR="00AA46EA" w:rsidRPr="003B798F" w:rsidRDefault="00AA46EA" w:rsidP="00005DEF">
            <w:pPr>
              <w:ind w:left="106"/>
              <w:contextualSpacing/>
              <w:rPr>
                <w:color w:val="000000"/>
              </w:rPr>
            </w:pPr>
            <w:r w:rsidRPr="003B798F">
              <w:rPr>
                <w:color w:val="000000"/>
              </w:rPr>
              <w:t>MPPL</w:t>
            </w:r>
          </w:p>
        </w:tc>
        <w:tc>
          <w:tcPr>
            <w:tcW w:w="2596" w:type="dxa"/>
            <w:noWrap/>
            <w:hideMark/>
          </w:tcPr>
          <w:p w14:paraId="678E3145" w14:textId="77777777" w:rsidR="00AA46EA" w:rsidRPr="003B798F" w:rsidRDefault="00AA46EA" w:rsidP="00005DEF">
            <w:pPr>
              <w:ind w:left="106"/>
              <w:contextualSpacing/>
              <w:jc w:val="center"/>
              <w:rPr>
                <w:color w:val="000000"/>
              </w:rPr>
            </w:pPr>
            <w:r w:rsidRPr="003B798F">
              <w:rPr>
                <w:color w:val="000000"/>
              </w:rPr>
              <w:t>10,000</w:t>
            </w:r>
          </w:p>
        </w:tc>
      </w:tr>
      <w:tr w:rsidR="00AA46EA" w:rsidRPr="00603D86" w14:paraId="40FD5876" w14:textId="77777777" w:rsidTr="00005DEF">
        <w:trPr>
          <w:trHeight w:val="173"/>
        </w:trPr>
        <w:tc>
          <w:tcPr>
            <w:tcW w:w="984" w:type="dxa"/>
            <w:noWrap/>
            <w:hideMark/>
          </w:tcPr>
          <w:p w14:paraId="3E78DD54" w14:textId="77777777" w:rsidR="00AA46EA" w:rsidRPr="003B798F" w:rsidRDefault="00AA46EA" w:rsidP="00005DEF">
            <w:pPr>
              <w:contextualSpacing/>
              <w:jc w:val="center"/>
              <w:rPr>
                <w:color w:val="000000"/>
              </w:rPr>
            </w:pPr>
            <w:r w:rsidRPr="003B798F">
              <w:rPr>
                <w:color w:val="000000"/>
              </w:rPr>
              <w:t>7</w:t>
            </w:r>
          </w:p>
        </w:tc>
        <w:tc>
          <w:tcPr>
            <w:tcW w:w="1945" w:type="dxa"/>
            <w:noWrap/>
            <w:hideMark/>
          </w:tcPr>
          <w:p w14:paraId="3DCFBB9A" w14:textId="77777777" w:rsidR="00AA46EA" w:rsidRPr="003B798F" w:rsidRDefault="00AA46EA" w:rsidP="00005DEF">
            <w:pPr>
              <w:ind w:left="106"/>
              <w:contextualSpacing/>
              <w:rPr>
                <w:color w:val="000000"/>
              </w:rPr>
            </w:pPr>
            <w:r w:rsidRPr="003B798F">
              <w:rPr>
                <w:color w:val="000000"/>
              </w:rPr>
              <w:t>MFHLLP</w:t>
            </w:r>
          </w:p>
        </w:tc>
        <w:tc>
          <w:tcPr>
            <w:tcW w:w="2371" w:type="dxa"/>
            <w:noWrap/>
            <w:hideMark/>
          </w:tcPr>
          <w:p w14:paraId="655CE5D9" w14:textId="77777777" w:rsidR="00AA46EA" w:rsidRPr="003B798F" w:rsidRDefault="00AA46EA" w:rsidP="00005DEF">
            <w:pPr>
              <w:ind w:left="106"/>
              <w:contextualSpacing/>
              <w:rPr>
                <w:color w:val="000000"/>
              </w:rPr>
            </w:pPr>
            <w:r w:rsidRPr="003B798F">
              <w:rPr>
                <w:color w:val="000000"/>
              </w:rPr>
              <w:t>MPPL</w:t>
            </w:r>
          </w:p>
        </w:tc>
        <w:tc>
          <w:tcPr>
            <w:tcW w:w="2596" w:type="dxa"/>
            <w:noWrap/>
            <w:hideMark/>
          </w:tcPr>
          <w:p w14:paraId="37EAAD0B" w14:textId="77777777" w:rsidR="00AA46EA" w:rsidRPr="003B798F" w:rsidRDefault="00AA46EA" w:rsidP="00005DEF">
            <w:pPr>
              <w:ind w:left="106"/>
              <w:contextualSpacing/>
              <w:jc w:val="center"/>
              <w:rPr>
                <w:color w:val="000000"/>
              </w:rPr>
            </w:pPr>
            <w:r w:rsidRPr="003B798F">
              <w:rPr>
                <w:color w:val="000000"/>
              </w:rPr>
              <w:t>10,000</w:t>
            </w:r>
          </w:p>
        </w:tc>
      </w:tr>
      <w:tr w:rsidR="00AA46EA" w:rsidRPr="00603D86" w14:paraId="62990C96" w14:textId="77777777" w:rsidTr="00005DEF">
        <w:trPr>
          <w:trHeight w:val="173"/>
        </w:trPr>
        <w:tc>
          <w:tcPr>
            <w:tcW w:w="984" w:type="dxa"/>
            <w:noWrap/>
            <w:hideMark/>
          </w:tcPr>
          <w:p w14:paraId="52377C0F" w14:textId="77777777" w:rsidR="00AA46EA" w:rsidRPr="003B798F" w:rsidRDefault="00AA46EA" w:rsidP="00005DEF">
            <w:pPr>
              <w:ind w:left="-80"/>
              <w:contextualSpacing/>
              <w:jc w:val="center"/>
              <w:rPr>
                <w:color w:val="000000"/>
              </w:rPr>
            </w:pPr>
            <w:r w:rsidRPr="003B798F">
              <w:rPr>
                <w:color w:val="000000"/>
              </w:rPr>
              <w:t>8</w:t>
            </w:r>
          </w:p>
        </w:tc>
        <w:tc>
          <w:tcPr>
            <w:tcW w:w="1945" w:type="dxa"/>
            <w:noWrap/>
            <w:hideMark/>
          </w:tcPr>
          <w:p w14:paraId="359F3972" w14:textId="77777777" w:rsidR="00AA46EA" w:rsidRPr="003B798F" w:rsidRDefault="00AA46EA" w:rsidP="00005DEF">
            <w:pPr>
              <w:ind w:left="106"/>
              <w:contextualSpacing/>
              <w:rPr>
                <w:color w:val="000000"/>
              </w:rPr>
            </w:pPr>
            <w:r w:rsidRPr="003B798F">
              <w:rPr>
                <w:color w:val="000000"/>
              </w:rPr>
              <w:t>MNM</w:t>
            </w:r>
          </w:p>
        </w:tc>
        <w:tc>
          <w:tcPr>
            <w:tcW w:w="2371" w:type="dxa"/>
            <w:noWrap/>
            <w:hideMark/>
          </w:tcPr>
          <w:p w14:paraId="386B96C4" w14:textId="77777777" w:rsidR="00AA46EA" w:rsidRPr="003B798F" w:rsidRDefault="00AA46EA" w:rsidP="00005DEF">
            <w:pPr>
              <w:ind w:left="106"/>
              <w:contextualSpacing/>
              <w:rPr>
                <w:color w:val="000000"/>
              </w:rPr>
            </w:pPr>
            <w:r w:rsidRPr="003B798F">
              <w:rPr>
                <w:color w:val="000000"/>
              </w:rPr>
              <w:t>MHPL</w:t>
            </w:r>
          </w:p>
        </w:tc>
        <w:tc>
          <w:tcPr>
            <w:tcW w:w="2596" w:type="dxa"/>
            <w:noWrap/>
            <w:hideMark/>
          </w:tcPr>
          <w:p w14:paraId="1283BA91" w14:textId="77777777" w:rsidR="00AA46EA" w:rsidRPr="003B798F" w:rsidRDefault="00AA46EA" w:rsidP="00005DEF">
            <w:pPr>
              <w:ind w:left="106"/>
              <w:contextualSpacing/>
              <w:jc w:val="center"/>
              <w:rPr>
                <w:color w:val="000000"/>
              </w:rPr>
            </w:pPr>
            <w:r w:rsidRPr="003B798F">
              <w:rPr>
                <w:color w:val="000000"/>
              </w:rPr>
              <w:t>25,000</w:t>
            </w:r>
          </w:p>
        </w:tc>
      </w:tr>
      <w:tr w:rsidR="00AA46EA" w:rsidRPr="00603D86" w14:paraId="74EF1F94" w14:textId="77777777" w:rsidTr="00005DEF">
        <w:trPr>
          <w:trHeight w:val="173"/>
        </w:trPr>
        <w:tc>
          <w:tcPr>
            <w:tcW w:w="984" w:type="dxa"/>
            <w:noWrap/>
            <w:hideMark/>
          </w:tcPr>
          <w:p w14:paraId="2484D460" w14:textId="77777777" w:rsidR="00AA46EA" w:rsidRPr="003B798F" w:rsidRDefault="00AA46EA" w:rsidP="00005DEF">
            <w:pPr>
              <w:ind w:left="-80"/>
              <w:contextualSpacing/>
              <w:jc w:val="center"/>
              <w:rPr>
                <w:color w:val="000000"/>
              </w:rPr>
            </w:pPr>
            <w:r w:rsidRPr="003B798F">
              <w:rPr>
                <w:color w:val="000000"/>
              </w:rPr>
              <w:t>9</w:t>
            </w:r>
          </w:p>
        </w:tc>
        <w:tc>
          <w:tcPr>
            <w:tcW w:w="1945" w:type="dxa"/>
            <w:noWrap/>
            <w:hideMark/>
          </w:tcPr>
          <w:p w14:paraId="16D42059" w14:textId="77777777" w:rsidR="00AA46EA" w:rsidRPr="003B798F" w:rsidRDefault="00AA46EA" w:rsidP="00005DEF">
            <w:pPr>
              <w:ind w:left="106"/>
              <w:contextualSpacing/>
              <w:rPr>
                <w:color w:val="000000"/>
              </w:rPr>
            </w:pPr>
            <w:r w:rsidRPr="003B798F">
              <w:rPr>
                <w:color w:val="000000"/>
              </w:rPr>
              <w:t>MPPL</w:t>
            </w:r>
          </w:p>
        </w:tc>
        <w:tc>
          <w:tcPr>
            <w:tcW w:w="2371" w:type="dxa"/>
            <w:noWrap/>
            <w:hideMark/>
          </w:tcPr>
          <w:p w14:paraId="62E9B605" w14:textId="77777777" w:rsidR="00AA46EA" w:rsidRPr="003B798F" w:rsidRDefault="00AA46EA" w:rsidP="00005DEF">
            <w:pPr>
              <w:ind w:left="106"/>
              <w:contextualSpacing/>
              <w:rPr>
                <w:color w:val="000000"/>
              </w:rPr>
            </w:pPr>
            <w:r w:rsidRPr="003B798F">
              <w:rPr>
                <w:color w:val="000000"/>
              </w:rPr>
              <w:t>MPPL</w:t>
            </w:r>
          </w:p>
        </w:tc>
        <w:tc>
          <w:tcPr>
            <w:tcW w:w="2596" w:type="dxa"/>
            <w:noWrap/>
            <w:hideMark/>
          </w:tcPr>
          <w:p w14:paraId="3AF8C6CB" w14:textId="77777777" w:rsidR="00AA46EA" w:rsidRPr="003B798F" w:rsidRDefault="00AA46EA" w:rsidP="00005DEF">
            <w:pPr>
              <w:ind w:left="106"/>
              <w:contextualSpacing/>
              <w:jc w:val="center"/>
              <w:rPr>
                <w:color w:val="000000"/>
              </w:rPr>
            </w:pPr>
            <w:r w:rsidRPr="003B798F">
              <w:rPr>
                <w:color w:val="000000"/>
              </w:rPr>
              <w:t>40,000</w:t>
            </w:r>
          </w:p>
        </w:tc>
      </w:tr>
      <w:tr w:rsidR="00AA46EA" w:rsidRPr="00603D86" w14:paraId="6F49670D" w14:textId="77777777" w:rsidTr="00005DEF">
        <w:trPr>
          <w:trHeight w:val="173"/>
        </w:trPr>
        <w:tc>
          <w:tcPr>
            <w:tcW w:w="984" w:type="dxa"/>
            <w:noWrap/>
            <w:hideMark/>
          </w:tcPr>
          <w:p w14:paraId="149B55B2" w14:textId="77777777" w:rsidR="00AA46EA" w:rsidRPr="003B798F" w:rsidRDefault="00AA46EA" w:rsidP="00005DEF">
            <w:pPr>
              <w:ind w:left="-80"/>
              <w:contextualSpacing/>
              <w:jc w:val="center"/>
              <w:rPr>
                <w:color w:val="000000"/>
              </w:rPr>
            </w:pPr>
            <w:r w:rsidRPr="003B798F">
              <w:rPr>
                <w:color w:val="000000"/>
              </w:rPr>
              <w:t>10</w:t>
            </w:r>
          </w:p>
        </w:tc>
        <w:tc>
          <w:tcPr>
            <w:tcW w:w="1945" w:type="dxa"/>
            <w:noWrap/>
            <w:hideMark/>
          </w:tcPr>
          <w:p w14:paraId="26335AEB" w14:textId="77777777" w:rsidR="00AA46EA" w:rsidRPr="003B798F" w:rsidRDefault="00AA46EA" w:rsidP="00005DEF">
            <w:pPr>
              <w:ind w:left="106"/>
              <w:contextualSpacing/>
              <w:rPr>
                <w:color w:val="000000"/>
              </w:rPr>
            </w:pPr>
            <w:r w:rsidRPr="003B798F">
              <w:rPr>
                <w:color w:val="000000"/>
              </w:rPr>
              <w:t>MRMLLP</w:t>
            </w:r>
          </w:p>
        </w:tc>
        <w:tc>
          <w:tcPr>
            <w:tcW w:w="2371" w:type="dxa"/>
            <w:noWrap/>
            <w:hideMark/>
          </w:tcPr>
          <w:p w14:paraId="1B33A744" w14:textId="77777777" w:rsidR="00AA46EA" w:rsidRPr="003B798F" w:rsidRDefault="00AA46EA" w:rsidP="00005DEF">
            <w:pPr>
              <w:ind w:left="106"/>
              <w:contextualSpacing/>
              <w:rPr>
                <w:color w:val="000000"/>
              </w:rPr>
            </w:pPr>
            <w:r w:rsidRPr="003B798F">
              <w:rPr>
                <w:color w:val="000000"/>
              </w:rPr>
              <w:t>MHPL</w:t>
            </w:r>
          </w:p>
        </w:tc>
        <w:tc>
          <w:tcPr>
            <w:tcW w:w="2596" w:type="dxa"/>
            <w:noWrap/>
            <w:hideMark/>
          </w:tcPr>
          <w:p w14:paraId="27A49088" w14:textId="77777777" w:rsidR="00AA46EA" w:rsidRPr="003B798F" w:rsidRDefault="00AA46EA" w:rsidP="00005DEF">
            <w:pPr>
              <w:ind w:left="106"/>
              <w:contextualSpacing/>
              <w:jc w:val="center"/>
              <w:rPr>
                <w:color w:val="000000"/>
              </w:rPr>
            </w:pPr>
            <w:r w:rsidRPr="003B798F">
              <w:rPr>
                <w:color w:val="000000"/>
              </w:rPr>
              <w:t>1,00,000</w:t>
            </w:r>
          </w:p>
        </w:tc>
      </w:tr>
      <w:tr w:rsidR="00AA46EA" w:rsidRPr="00603D86" w14:paraId="6328A0C2" w14:textId="77777777" w:rsidTr="00005DEF">
        <w:trPr>
          <w:trHeight w:val="173"/>
        </w:trPr>
        <w:tc>
          <w:tcPr>
            <w:tcW w:w="984" w:type="dxa"/>
            <w:noWrap/>
            <w:hideMark/>
          </w:tcPr>
          <w:p w14:paraId="6E036005" w14:textId="77777777" w:rsidR="00AA46EA" w:rsidRPr="003B798F" w:rsidRDefault="00AA46EA" w:rsidP="00005DEF">
            <w:pPr>
              <w:ind w:left="-80"/>
              <w:contextualSpacing/>
              <w:jc w:val="center"/>
              <w:rPr>
                <w:color w:val="000000"/>
              </w:rPr>
            </w:pPr>
            <w:r w:rsidRPr="003B798F">
              <w:rPr>
                <w:color w:val="000000"/>
              </w:rPr>
              <w:t>11</w:t>
            </w:r>
          </w:p>
        </w:tc>
        <w:tc>
          <w:tcPr>
            <w:tcW w:w="1945" w:type="dxa"/>
            <w:noWrap/>
            <w:hideMark/>
          </w:tcPr>
          <w:p w14:paraId="12879B3A" w14:textId="77777777" w:rsidR="00AA46EA" w:rsidRPr="003B798F" w:rsidRDefault="00AA46EA" w:rsidP="00005DEF">
            <w:pPr>
              <w:ind w:left="106"/>
              <w:contextualSpacing/>
              <w:rPr>
                <w:color w:val="000000"/>
              </w:rPr>
            </w:pPr>
            <w:r w:rsidRPr="003B798F">
              <w:rPr>
                <w:color w:val="000000"/>
              </w:rPr>
              <w:t>NE</w:t>
            </w:r>
          </w:p>
        </w:tc>
        <w:tc>
          <w:tcPr>
            <w:tcW w:w="2371" w:type="dxa"/>
            <w:noWrap/>
            <w:hideMark/>
          </w:tcPr>
          <w:p w14:paraId="775AB9D6" w14:textId="77777777" w:rsidR="00AA46EA" w:rsidRPr="003B798F" w:rsidRDefault="00AA46EA" w:rsidP="00005DEF">
            <w:pPr>
              <w:ind w:left="106"/>
              <w:contextualSpacing/>
              <w:rPr>
                <w:color w:val="000000"/>
              </w:rPr>
            </w:pPr>
            <w:r w:rsidRPr="003B798F">
              <w:rPr>
                <w:color w:val="000000"/>
              </w:rPr>
              <w:t>MHPL</w:t>
            </w:r>
          </w:p>
        </w:tc>
        <w:tc>
          <w:tcPr>
            <w:tcW w:w="2596" w:type="dxa"/>
            <w:noWrap/>
            <w:hideMark/>
          </w:tcPr>
          <w:p w14:paraId="6E9848AA" w14:textId="77777777" w:rsidR="00AA46EA" w:rsidRPr="003B798F" w:rsidRDefault="00AA46EA" w:rsidP="00005DEF">
            <w:pPr>
              <w:ind w:left="106"/>
              <w:contextualSpacing/>
              <w:jc w:val="center"/>
              <w:rPr>
                <w:color w:val="000000"/>
              </w:rPr>
            </w:pPr>
            <w:r w:rsidRPr="003B798F">
              <w:rPr>
                <w:color w:val="000000"/>
              </w:rPr>
              <w:t>50,000</w:t>
            </w:r>
          </w:p>
        </w:tc>
      </w:tr>
      <w:tr w:rsidR="00AA46EA" w:rsidRPr="00603D86" w14:paraId="0C5E167D" w14:textId="77777777" w:rsidTr="00005DEF">
        <w:trPr>
          <w:trHeight w:val="173"/>
        </w:trPr>
        <w:tc>
          <w:tcPr>
            <w:tcW w:w="984" w:type="dxa"/>
            <w:noWrap/>
            <w:hideMark/>
          </w:tcPr>
          <w:p w14:paraId="28AC2E2F" w14:textId="77777777" w:rsidR="00AA46EA" w:rsidRPr="003B798F" w:rsidRDefault="00AA46EA" w:rsidP="00005DEF">
            <w:pPr>
              <w:ind w:left="-80"/>
              <w:contextualSpacing/>
              <w:jc w:val="center"/>
              <w:rPr>
                <w:color w:val="000000"/>
              </w:rPr>
            </w:pPr>
            <w:r w:rsidRPr="003B798F">
              <w:rPr>
                <w:color w:val="000000"/>
              </w:rPr>
              <w:t>12</w:t>
            </w:r>
          </w:p>
        </w:tc>
        <w:tc>
          <w:tcPr>
            <w:tcW w:w="1945" w:type="dxa"/>
            <w:noWrap/>
            <w:hideMark/>
          </w:tcPr>
          <w:p w14:paraId="707496A4" w14:textId="77777777" w:rsidR="00AA46EA" w:rsidRPr="003B798F" w:rsidRDefault="00AA46EA" w:rsidP="00005DEF">
            <w:pPr>
              <w:ind w:left="106"/>
              <w:contextualSpacing/>
              <w:rPr>
                <w:color w:val="000000"/>
              </w:rPr>
            </w:pPr>
            <w:r w:rsidRPr="003B798F">
              <w:rPr>
                <w:color w:val="000000"/>
              </w:rPr>
              <w:t>PMR-II</w:t>
            </w:r>
          </w:p>
        </w:tc>
        <w:tc>
          <w:tcPr>
            <w:tcW w:w="2371" w:type="dxa"/>
            <w:noWrap/>
            <w:hideMark/>
          </w:tcPr>
          <w:p w14:paraId="43C3FC0D" w14:textId="77777777" w:rsidR="00AA46EA" w:rsidRPr="003B798F" w:rsidRDefault="00AA46EA" w:rsidP="00005DEF">
            <w:pPr>
              <w:ind w:left="106"/>
              <w:contextualSpacing/>
              <w:rPr>
                <w:color w:val="000000"/>
              </w:rPr>
            </w:pPr>
            <w:r w:rsidRPr="003B798F">
              <w:rPr>
                <w:color w:val="000000"/>
              </w:rPr>
              <w:t>MPPL</w:t>
            </w:r>
          </w:p>
        </w:tc>
        <w:tc>
          <w:tcPr>
            <w:tcW w:w="2596" w:type="dxa"/>
            <w:noWrap/>
            <w:hideMark/>
          </w:tcPr>
          <w:p w14:paraId="50A95CE8" w14:textId="77777777" w:rsidR="00AA46EA" w:rsidRPr="003B798F" w:rsidRDefault="00AA46EA" w:rsidP="00005DEF">
            <w:pPr>
              <w:ind w:left="106"/>
              <w:contextualSpacing/>
              <w:jc w:val="center"/>
              <w:rPr>
                <w:color w:val="000000"/>
              </w:rPr>
            </w:pPr>
            <w:r w:rsidRPr="003B798F">
              <w:rPr>
                <w:color w:val="000000"/>
              </w:rPr>
              <w:t>80,000</w:t>
            </w:r>
          </w:p>
        </w:tc>
      </w:tr>
      <w:tr w:rsidR="00AA46EA" w:rsidRPr="00603D86" w14:paraId="49D53744" w14:textId="77777777" w:rsidTr="00005DEF">
        <w:trPr>
          <w:trHeight w:val="173"/>
        </w:trPr>
        <w:tc>
          <w:tcPr>
            <w:tcW w:w="984" w:type="dxa"/>
            <w:noWrap/>
            <w:hideMark/>
          </w:tcPr>
          <w:p w14:paraId="10916399" w14:textId="77777777" w:rsidR="00AA46EA" w:rsidRPr="003B798F" w:rsidRDefault="00AA46EA" w:rsidP="00005DEF">
            <w:pPr>
              <w:ind w:left="-80"/>
              <w:contextualSpacing/>
              <w:jc w:val="center"/>
              <w:rPr>
                <w:color w:val="000000"/>
              </w:rPr>
            </w:pPr>
            <w:r w:rsidRPr="003B798F">
              <w:rPr>
                <w:color w:val="000000"/>
              </w:rPr>
              <w:t>13</w:t>
            </w:r>
          </w:p>
        </w:tc>
        <w:tc>
          <w:tcPr>
            <w:tcW w:w="1945" w:type="dxa"/>
            <w:noWrap/>
            <w:hideMark/>
          </w:tcPr>
          <w:p w14:paraId="34A6A22D" w14:textId="77777777" w:rsidR="00AA46EA" w:rsidRPr="003B798F" w:rsidRDefault="00AA46EA" w:rsidP="00005DEF">
            <w:pPr>
              <w:ind w:left="106"/>
              <w:contextualSpacing/>
              <w:rPr>
                <w:color w:val="000000"/>
              </w:rPr>
            </w:pPr>
            <w:r w:rsidRPr="003B798F">
              <w:rPr>
                <w:color w:val="000000"/>
              </w:rPr>
              <w:t>SERENE</w:t>
            </w:r>
          </w:p>
        </w:tc>
        <w:tc>
          <w:tcPr>
            <w:tcW w:w="2371" w:type="dxa"/>
            <w:noWrap/>
            <w:hideMark/>
          </w:tcPr>
          <w:p w14:paraId="77A857A9" w14:textId="77777777" w:rsidR="00AA46EA" w:rsidRPr="003B798F" w:rsidRDefault="00AA46EA" w:rsidP="00005DEF">
            <w:pPr>
              <w:ind w:left="106"/>
              <w:contextualSpacing/>
              <w:rPr>
                <w:color w:val="000000"/>
              </w:rPr>
            </w:pPr>
            <w:r w:rsidRPr="003B798F">
              <w:rPr>
                <w:color w:val="000000"/>
              </w:rPr>
              <w:t>MHPL</w:t>
            </w:r>
          </w:p>
        </w:tc>
        <w:tc>
          <w:tcPr>
            <w:tcW w:w="2596" w:type="dxa"/>
            <w:noWrap/>
            <w:hideMark/>
          </w:tcPr>
          <w:p w14:paraId="1037DAE5" w14:textId="77777777" w:rsidR="00AA46EA" w:rsidRPr="003B798F" w:rsidRDefault="00AA46EA" w:rsidP="00005DEF">
            <w:pPr>
              <w:ind w:left="106"/>
              <w:contextualSpacing/>
              <w:jc w:val="center"/>
              <w:rPr>
                <w:color w:val="000000"/>
              </w:rPr>
            </w:pPr>
            <w:r w:rsidRPr="003B798F">
              <w:rPr>
                <w:color w:val="000000"/>
              </w:rPr>
              <w:t>50,000</w:t>
            </w:r>
          </w:p>
        </w:tc>
      </w:tr>
      <w:tr w:rsidR="00AA46EA" w:rsidRPr="00603D86" w14:paraId="22513C91" w14:textId="77777777" w:rsidTr="00005DEF">
        <w:trPr>
          <w:trHeight w:val="173"/>
        </w:trPr>
        <w:tc>
          <w:tcPr>
            <w:tcW w:w="984" w:type="dxa"/>
            <w:noWrap/>
            <w:hideMark/>
          </w:tcPr>
          <w:p w14:paraId="13B60EC3" w14:textId="77777777" w:rsidR="00AA46EA" w:rsidRPr="003B798F" w:rsidRDefault="00AA46EA" w:rsidP="00005DEF">
            <w:pPr>
              <w:ind w:left="-80"/>
              <w:contextualSpacing/>
              <w:jc w:val="center"/>
              <w:rPr>
                <w:color w:val="000000"/>
              </w:rPr>
            </w:pPr>
            <w:r w:rsidRPr="003B798F">
              <w:rPr>
                <w:color w:val="000000"/>
              </w:rPr>
              <w:t>14</w:t>
            </w:r>
          </w:p>
        </w:tc>
        <w:tc>
          <w:tcPr>
            <w:tcW w:w="1945" w:type="dxa"/>
            <w:noWrap/>
            <w:hideMark/>
          </w:tcPr>
          <w:p w14:paraId="4A610743" w14:textId="77777777" w:rsidR="00AA46EA" w:rsidRPr="003B798F" w:rsidRDefault="00AA46EA" w:rsidP="00005DEF">
            <w:pPr>
              <w:ind w:left="106"/>
              <w:contextualSpacing/>
              <w:rPr>
                <w:color w:val="000000"/>
              </w:rPr>
            </w:pPr>
            <w:r w:rsidRPr="003B798F">
              <w:rPr>
                <w:color w:val="000000"/>
              </w:rPr>
              <w:t>SOHAM MODI</w:t>
            </w:r>
          </w:p>
        </w:tc>
        <w:tc>
          <w:tcPr>
            <w:tcW w:w="2371" w:type="dxa"/>
            <w:noWrap/>
            <w:hideMark/>
          </w:tcPr>
          <w:p w14:paraId="07606691" w14:textId="77777777" w:rsidR="00AA46EA" w:rsidRPr="003B798F" w:rsidRDefault="00AA46EA" w:rsidP="00005DEF">
            <w:pPr>
              <w:ind w:left="106"/>
              <w:contextualSpacing/>
              <w:rPr>
                <w:color w:val="000000"/>
              </w:rPr>
            </w:pPr>
            <w:r w:rsidRPr="003B798F">
              <w:rPr>
                <w:color w:val="000000"/>
              </w:rPr>
              <w:t>MPPL</w:t>
            </w:r>
          </w:p>
        </w:tc>
        <w:tc>
          <w:tcPr>
            <w:tcW w:w="2596" w:type="dxa"/>
            <w:noWrap/>
            <w:hideMark/>
          </w:tcPr>
          <w:p w14:paraId="184B7842" w14:textId="77777777" w:rsidR="00AA46EA" w:rsidRPr="003B798F" w:rsidRDefault="00AA46EA" w:rsidP="00005DEF">
            <w:pPr>
              <w:ind w:left="106"/>
              <w:contextualSpacing/>
              <w:jc w:val="center"/>
              <w:rPr>
                <w:color w:val="000000"/>
              </w:rPr>
            </w:pPr>
            <w:r w:rsidRPr="003B798F">
              <w:rPr>
                <w:color w:val="000000"/>
              </w:rPr>
              <w:t>15,000</w:t>
            </w:r>
          </w:p>
        </w:tc>
      </w:tr>
      <w:tr w:rsidR="00AA46EA" w:rsidRPr="00603D86" w14:paraId="741DD005" w14:textId="77777777" w:rsidTr="00005DEF">
        <w:trPr>
          <w:trHeight w:val="173"/>
        </w:trPr>
        <w:tc>
          <w:tcPr>
            <w:tcW w:w="984" w:type="dxa"/>
            <w:noWrap/>
            <w:hideMark/>
          </w:tcPr>
          <w:p w14:paraId="218D502F" w14:textId="77777777" w:rsidR="00AA46EA" w:rsidRPr="003B798F" w:rsidRDefault="00AA46EA" w:rsidP="00005DEF">
            <w:pPr>
              <w:ind w:left="-80"/>
              <w:contextualSpacing/>
              <w:jc w:val="center"/>
              <w:rPr>
                <w:color w:val="000000"/>
              </w:rPr>
            </w:pPr>
            <w:r w:rsidRPr="003B798F">
              <w:rPr>
                <w:color w:val="000000"/>
              </w:rPr>
              <w:t>15</w:t>
            </w:r>
          </w:p>
        </w:tc>
        <w:tc>
          <w:tcPr>
            <w:tcW w:w="1945" w:type="dxa"/>
            <w:noWrap/>
            <w:hideMark/>
          </w:tcPr>
          <w:p w14:paraId="4549D5D1" w14:textId="77777777" w:rsidR="00AA46EA" w:rsidRPr="003B798F" w:rsidRDefault="00AA46EA" w:rsidP="00005DEF">
            <w:pPr>
              <w:ind w:left="106"/>
              <w:contextualSpacing/>
              <w:rPr>
                <w:color w:val="000000"/>
              </w:rPr>
            </w:pPr>
            <w:r w:rsidRPr="003B798F">
              <w:rPr>
                <w:color w:val="000000"/>
              </w:rPr>
              <w:t>SOV</w:t>
            </w:r>
          </w:p>
        </w:tc>
        <w:tc>
          <w:tcPr>
            <w:tcW w:w="2371" w:type="dxa"/>
            <w:noWrap/>
            <w:hideMark/>
          </w:tcPr>
          <w:p w14:paraId="3C9C9C5A" w14:textId="77777777" w:rsidR="00AA46EA" w:rsidRPr="003B798F" w:rsidRDefault="00AA46EA" w:rsidP="00005DEF">
            <w:pPr>
              <w:ind w:left="106"/>
              <w:contextualSpacing/>
              <w:rPr>
                <w:color w:val="000000"/>
              </w:rPr>
            </w:pPr>
            <w:r w:rsidRPr="003B798F">
              <w:rPr>
                <w:color w:val="000000"/>
              </w:rPr>
              <w:t>MPPL</w:t>
            </w:r>
          </w:p>
        </w:tc>
        <w:tc>
          <w:tcPr>
            <w:tcW w:w="2596" w:type="dxa"/>
            <w:noWrap/>
            <w:hideMark/>
          </w:tcPr>
          <w:p w14:paraId="5F26F1F9" w14:textId="77777777" w:rsidR="00AA46EA" w:rsidRPr="003B798F" w:rsidRDefault="00AA46EA" w:rsidP="00005DEF">
            <w:pPr>
              <w:ind w:left="106"/>
              <w:contextualSpacing/>
              <w:jc w:val="center"/>
              <w:rPr>
                <w:color w:val="000000"/>
              </w:rPr>
            </w:pPr>
            <w:r w:rsidRPr="003B798F">
              <w:rPr>
                <w:color w:val="000000"/>
              </w:rPr>
              <w:t>50,000</w:t>
            </w:r>
          </w:p>
        </w:tc>
      </w:tr>
      <w:tr w:rsidR="00AA46EA" w:rsidRPr="00603D86" w14:paraId="64F4B57D" w14:textId="77777777" w:rsidTr="00005DEF">
        <w:trPr>
          <w:trHeight w:val="173"/>
        </w:trPr>
        <w:tc>
          <w:tcPr>
            <w:tcW w:w="984" w:type="dxa"/>
            <w:noWrap/>
            <w:hideMark/>
          </w:tcPr>
          <w:p w14:paraId="36C2459B" w14:textId="77777777" w:rsidR="00AA46EA" w:rsidRPr="003B798F" w:rsidRDefault="00AA46EA" w:rsidP="00005DEF">
            <w:pPr>
              <w:ind w:left="-80"/>
              <w:contextualSpacing/>
              <w:jc w:val="center"/>
              <w:rPr>
                <w:color w:val="000000"/>
              </w:rPr>
            </w:pPr>
            <w:r w:rsidRPr="003B798F">
              <w:rPr>
                <w:color w:val="000000"/>
              </w:rPr>
              <w:t>16</w:t>
            </w:r>
          </w:p>
        </w:tc>
        <w:tc>
          <w:tcPr>
            <w:tcW w:w="1945" w:type="dxa"/>
            <w:noWrap/>
            <w:hideMark/>
          </w:tcPr>
          <w:p w14:paraId="55F51377" w14:textId="77777777" w:rsidR="00AA46EA" w:rsidRPr="003B798F" w:rsidRDefault="00AA46EA" w:rsidP="00005DEF">
            <w:pPr>
              <w:ind w:left="106"/>
              <w:contextualSpacing/>
              <w:rPr>
                <w:color w:val="000000"/>
              </w:rPr>
            </w:pPr>
            <w:r w:rsidRPr="003B798F">
              <w:rPr>
                <w:color w:val="000000"/>
              </w:rPr>
              <w:t>TEJAL MODI</w:t>
            </w:r>
          </w:p>
        </w:tc>
        <w:tc>
          <w:tcPr>
            <w:tcW w:w="2371" w:type="dxa"/>
            <w:noWrap/>
            <w:hideMark/>
          </w:tcPr>
          <w:p w14:paraId="35F89300" w14:textId="77777777" w:rsidR="00AA46EA" w:rsidRPr="003B798F" w:rsidRDefault="00AA46EA" w:rsidP="00005DEF">
            <w:pPr>
              <w:ind w:left="106"/>
              <w:contextualSpacing/>
              <w:rPr>
                <w:color w:val="000000"/>
              </w:rPr>
            </w:pPr>
            <w:r w:rsidRPr="003B798F">
              <w:rPr>
                <w:color w:val="000000"/>
              </w:rPr>
              <w:t>MPPL</w:t>
            </w:r>
          </w:p>
        </w:tc>
        <w:tc>
          <w:tcPr>
            <w:tcW w:w="2596" w:type="dxa"/>
            <w:noWrap/>
            <w:hideMark/>
          </w:tcPr>
          <w:p w14:paraId="1C2C2784" w14:textId="77777777" w:rsidR="00AA46EA" w:rsidRPr="003B798F" w:rsidRDefault="00AA46EA" w:rsidP="00005DEF">
            <w:pPr>
              <w:ind w:left="106"/>
              <w:contextualSpacing/>
              <w:jc w:val="center"/>
              <w:rPr>
                <w:color w:val="000000"/>
              </w:rPr>
            </w:pPr>
            <w:r w:rsidRPr="003B798F">
              <w:rPr>
                <w:color w:val="000000"/>
              </w:rPr>
              <w:t>10,000</w:t>
            </w:r>
          </w:p>
        </w:tc>
      </w:tr>
      <w:tr w:rsidR="00AA46EA" w:rsidRPr="00603D86" w14:paraId="63215909" w14:textId="77777777" w:rsidTr="00005DEF">
        <w:trPr>
          <w:trHeight w:val="173"/>
        </w:trPr>
        <w:tc>
          <w:tcPr>
            <w:tcW w:w="984" w:type="dxa"/>
            <w:noWrap/>
            <w:hideMark/>
          </w:tcPr>
          <w:p w14:paraId="1AE361A4" w14:textId="77777777" w:rsidR="00AA46EA" w:rsidRPr="003B798F" w:rsidRDefault="00AA46EA" w:rsidP="00005DEF">
            <w:pPr>
              <w:ind w:left="-80"/>
              <w:contextualSpacing/>
              <w:jc w:val="center"/>
              <w:rPr>
                <w:color w:val="000000"/>
              </w:rPr>
            </w:pPr>
            <w:r w:rsidRPr="003B798F">
              <w:rPr>
                <w:color w:val="000000"/>
              </w:rPr>
              <w:t>17</w:t>
            </w:r>
          </w:p>
        </w:tc>
        <w:tc>
          <w:tcPr>
            <w:tcW w:w="1945" w:type="dxa"/>
            <w:noWrap/>
            <w:hideMark/>
          </w:tcPr>
          <w:p w14:paraId="20259344" w14:textId="77777777" w:rsidR="00AA46EA" w:rsidRPr="003B798F" w:rsidRDefault="00AA46EA" w:rsidP="00005DEF">
            <w:pPr>
              <w:ind w:left="106"/>
              <w:contextualSpacing/>
              <w:rPr>
                <w:color w:val="000000"/>
              </w:rPr>
            </w:pPr>
            <w:r w:rsidRPr="003B798F">
              <w:rPr>
                <w:color w:val="000000"/>
              </w:rPr>
              <w:t>Vista</w:t>
            </w:r>
          </w:p>
        </w:tc>
        <w:tc>
          <w:tcPr>
            <w:tcW w:w="2371" w:type="dxa"/>
            <w:noWrap/>
            <w:hideMark/>
          </w:tcPr>
          <w:p w14:paraId="5C8F6481" w14:textId="77777777" w:rsidR="00AA46EA" w:rsidRPr="003B798F" w:rsidRDefault="00AA46EA" w:rsidP="00005DEF">
            <w:pPr>
              <w:ind w:left="106"/>
              <w:contextualSpacing/>
              <w:rPr>
                <w:color w:val="000000"/>
              </w:rPr>
            </w:pPr>
            <w:r w:rsidRPr="003B798F">
              <w:rPr>
                <w:color w:val="000000"/>
              </w:rPr>
              <w:t>MPPL</w:t>
            </w:r>
          </w:p>
        </w:tc>
        <w:tc>
          <w:tcPr>
            <w:tcW w:w="2596" w:type="dxa"/>
            <w:noWrap/>
            <w:hideMark/>
          </w:tcPr>
          <w:p w14:paraId="040F89AD" w14:textId="77777777" w:rsidR="00AA46EA" w:rsidRPr="003B798F" w:rsidRDefault="00AA46EA" w:rsidP="00005DEF">
            <w:pPr>
              <w:ind w:left="106"/>
              <w:contextualSpacing/>
              <w:jc w:val="center"/>
              <w:rPr>
                <w:color w:val="000000"/>
              </w:rPr>
            </w:pPr>
            <w:r w:rsidRPr="003B798F">
              <w:rPr>
                <w:color w:val="000000"/>
              </w:rPr>
              <w:t>80,000</w:t>
            </w:r>
          </w:p>
        </w:tc>
      </w:tr>
      <w:tr w:rsidR="00AA46EA" w:rsidRPr="00603D86" w14:paraId="3996DA30" w14:textId="77777777" w:rsidTr="00005DEF">
        <w:trPr>
          <w:trHeight w:val="173"/>
        </w:trPr>
        <w:tc>
          <w:tcPr>
            <w:tcW w:w="984" w:type="dxa"/>
            <w:noWrap/>
            <w:hideMark/>
          </w:tcPr>
          <w:p w14:paraId="11618809" w14:textId="77777777" w:rsidR="00AA46EA" w:rsidRPr="003B798F" w:rsidRDefault="00AA46EA" w:rsidP="00005DEF">
            <w:pPr>
              <w:ind w:left="-80"/>
              <w:contextualSpacing/>
              <w:jc w:val="center"/>
              <w:rPr>
                <w:color w:val="000000"/>
              </w:rPr>
            </w:pPr>
            <w:r w:rsidRPr="003B798F">
              <w:rPr>
                <w:color w:val="000000"/>
              </w:rPr>
              <w:t>18</w:t>
            </w:r>
          </w:p>
        </w:tc>
        <w:tc>
          <w:tcPr>
            <w:tcW w:w="1945" w:type="dxa"/>
            <w:noWrap/>
            <w:hideMark/>
          </w:tcPr>
          <w:p w14:paraId="65AC8BF9" w14:textId="77777777" w:rsidR="00AA46EA" w:rsidRPr="003B798F" w:rsidRDefault="00AA46EA" w:rsidP="00005DEF">
            <w:pPr>
              <w:ind w:left="106"/>
              <w:contextualSpacing/>
              <w:rPr>
                <w:color w:val="000000"/>
              </w:rPr>
            </w:pPr>
            <w:proofErr w:type="spellStart"/>
            <w:r w:rsidRPr="003B798F">
              <w:rPr>
                <w:color w:val="000000"/>
              </w:rPr>
              <w:t>MRSiddipet</w:t>
            </w:r>
            <w:proofErr w:type="spellEnd"/>
          </w:p>
        </w:tc>
        <w:tc>
          <w:tcPr>
            <w:tcW w:w="2371" w:type="dxa"/>
            <w:noWrap/>
            <w:hideMark/>
          </w:tcPr>
          <w:p w14:paraId="2782ACF8" w14:textId="77777777" w:rsidR="00AA46EA" w:rsidRPr="003B798F" w:rsidRDefault="00AA46EA" w:rsidP="00005DEF">
            <w:pPr>
              <w:ind w:left="106"/>
              <w:contextualSpacing/>
              <w:rPr>
                <w:color w:val="000000"/>
              </w:rPr>
            </w:pPr>
            <w:r w:rsidRPr="003B798F">
              <w:rPr>
                <w:color w:val="000000"/>
              </w:rPr>
              <w:t>MPPL</w:t>
            </w:r>
          </w:p>
        </w:tc>
        <w:tc>
          <w:tcPr>
            <w:tcW w:w="2596" w:type="dxa"/>
            <w:noWrap/>
            <w:hideMark/>
          </w:tcPr>
          <w:p w14:paraId="5B3273F1" w14:textId="77777777" w:rsidR="00AA46EA" w:rsidRPr="003B798F" w:rsidRDefault="00AA46EA" w:rsidP="00005DEF">
            <w:pPr>
              <w:ind w:left="106"/>
              <w:contextualSpacing/>
              <w:jc w:val="center"/>
              <w:rPr>
                <w:color w:val="000000"/>
              </w:rPr>
            </w:pPr>
            <w:r w:rsidRPr="003B798F">
              <w:rPr>
                <w:color w:val="000000"/>
              </w:rPr>
              <w:t>25,000</w:t>
            </w:r>
          </w:p>
        </w:tc>
      </w:tr>
      <w:tr w:rsidR="00AA46EA" w:rsidRPr="00603D86" w14:paraId="19E69DE0" w14:textId="77777777" w:rsidTr="00005DEF">
        <w:trPr>
          <w:trHeight w:val="173"/>
        </w:trPr>
        <w:tc>
          <w:tcPr>
            <w:tcW w:w="984" w:type="dxa"/>
            <w:noWrap/>
            <w:hideMark/>
          </w:tcPr>
          <w:p w14:paraId="6B3D4405" w14:textId="77777777" w:rsidR="00AA46EA" w:rsidRPr="003B798F" w:rsidRDefault="00AA46EA" w:rsidP="00005DEF">
            <w:pPr>
              <w:ind w:left="-80"/>
              <w:contextualSpacing/>
              <w:jc w:val="center"/>
              <w:rPr>
                <w:color w:val="000000"/>
              </w:rPr>
            </w:pPr>
            <w:r w:rsidRPr="003B798F">
              <w:rPr>
                <w:color w:val="000000"/>
              </w:rPr>
              <w:t>19</w:t>
            </w:r>
          </w:p>
        </w:tc>
        <w:tc>
          <w:tcPr>
            <w:tcW w:w="1945" w:type="dxa"/>
            <w:noWrap/>
            <w:hideMark/>
          </w:tcPr>
          <w:p w14:paraId="286752D4" w14:textId="77777777" w:rsidR="00AA46EA" w:rsidRPr="003B798F" w:rsidRDefault="00AA46EA" w:rsidP="00005DEF">
            <w:pPr>
              <w:ind w:left="106"/>
              <w:contextualSpacing/>
              <w:rPr>
                <w:color w:val="000000"/>
              </w:rPr>
            </w:pPr>
            <w:r w:rsidRPr="003B798F">
              <w:rPr>
                <w:color w:val="000000"/>
              </w:rPr>
              <w:t>PMR – I</w:t>
            </w:r>
          </w:p>
        </w:tc>
        <w:tc>
          <w:tcPr>
            <w:tcW w:w="2371" w:type="dxa"/>
            <w:noWrap/>
            <w:hideMark/>
          </w:tcPr>
          <w:p w14:paraId="1EE14EC8" w14:textId="77777777" w:rsidR="00AA46EA" w:rsidRPr="003B798F" w:rsidRDefault="00AA46EA" w:rsidP="00005DEF">
            <w:pPr>
              <w:ind w:left="106"/>
              <w:contextualSpacing/>
              <w:rPr>
                <w:color w:val="000000"/>
              </w:rPr>
            </w:pPr>
            <w:r w:rsidRPr="003B798F">
              <w:rPr>
                <w:color w:val="000000"/>
              </w:rPr>
              <w:t>MPPL</w:t>
            </w:r>
          </w:p>
        </w:tc>
        <w:tc>
          <w:tcPr>
            <w:tcW w:w="2596" w:type="dxa"/>
            <w:noWrap/>
            <w:hideMark/>
          </w:tcPr>
          <w:p w14:paraId="4498183C" w14:textId="77777777" w:rsidR="00AA46EA" w:rsidRPr="003B798F" w:rsidRDefault="00AA46EA" w:rsidP="00005DEF">
            <w:pPr>
              <w:ind w:left="106"/>
              <w:contextualSpacing/>
              <w:jc w:val="center"/>
              <w:rPr>
                <w:color w:val="000000"/>
              </w:rPr>
            </w:pPr>
            <w:r w:rsidRPr="003B798F">
              <w:rPr>
                <w:color w:val="000000"/>
              </w:rPr>
              <w:t>10,000</w:t>
            </w:r>
          </w:p>
        </w:tc>
      </w:tr>
      <w:tr w:rsidR="00AA46EA" w:rsidRPr="00603D86" w14:paraId="68FA4B34" w14:textId="77777777" w:rsidTr="00005DEF">
        <w:trPr>
          <w:trHeight w:val="173"/>
        </w:trPr>
        <w:tc>
          <w:tcPr>
            <w:tcW w:w="984" w:type="dxa"/>
            <w:noWrap/>
            <w:hideMark/>
          </w:tcPr>
          <w:p w14:paraId="3F435951" w14:textId="77777777" w:rsidR="00AA46EA" w:rsidRPr="003B798F" w:rsidRDefault="00AA46EA" w:rsidP="00005DEF">
            <w:pPr>
              <w:ind w:left="720"/>
              <w:contextualSpacing/>
              <w:rPr>
                <w:color w:val="000000"/>
              </w:rPr>
            </w:pPr>
            <w:r w:rsidRPr="003B798F">
              <w:rPr>
                <w:color w:val="000000"/>
              </w:rPr>
              <w:t> </w:t>
            </w:r>
          </w:p>
        </w:tc>
        <w:tc>
          <w:tcPr>
            <w:tcW w:w="1945" w:type="dxa"/>
            <w:noWrap/>
            <w:hideMark/>
          </w:tcPr>
          <w:p w14:paraId="15C64215" w14:textId="77777777" w:rsidR="00AA46EA" w:rsidRPr="003B798F" w:rsidRDefault="00AA46EA" w:rsidP="00005DEF">
            <w:pPr>
              <w:ind w:left="106"/>
              <w:contextualSpacing/>
              <w:rPr>
                <w:color w:val="000000"/>
              </w:rPr>
            </w:pPr>
            <w:r w:rsidRPr="003B798F">
              <w:rPr>
                <w:color w:val="000000"/>
              </w:rPr>
              <w:t> </w:t>
            </w:r>
          </w:p>
        </w:tc>
        <w:tc>
          <w:tcPr>
            <w:tcW w:w="2371" w:type="dxa"/>
            <w:noWrap/>
            <w:hideMark/>
          </w:tcPr>
          <w:p w14:paraId="71E1E84E" w14:textId="77777777" w:rsidR="00AA46EA" w:rsidRPr="003B798F" w:rsidRDefault="00AA46EA" w:rsidP="00005DEF">
            <w:pPr>
              <w:ind w:left="106"/>
              <w:contextualSpacing/>
              <w:rPr>
                <w:b/>
                <w:color w:val="000000"/>
              </w:rPr>
            </w:pPr>
            <w:r w:rsidRPr="003B798F">
              <w:rPr>
                <w:color w:val="000000"/>
              </w:rPr>
              <w:t> </w:t>
            </w:r>
            <w:r w:rsidRPr="003B798F">
              <w:rPr>
                <w:b/>
                <w:color w:val="000000"/>
              </w:rPr>
              <w:t>Total</w:t>
            </w:r>
          </w:p>
        </w:tc>
        <w:tc>
          <w:tcPr>
            <w:tcW w:w="2596" w:type="dxa"/>
            <w:noWrap/>
            <w:hideMark/>
          </w:tcPr>
          <w:p w14:paraId="0299FFE3" w14:textId="77777777" w:rsidR="00AA46EA" w:rsidRPr="003B798F" w:rsidRDefault="00AA46EA" w:rsidP="00005DEF">
            <w:pPr>
              <w:ind w:left="106"/>
              <w:contextualSpacing/>
              <w:jc w:val="center"/>
              <w:rPr>
                <w:b/>
                <w:color w:val="000000"/>
              </w:rPr>
            </w:pPr>
            <w:r w:rsidRPr="003B798F">
              <w:rPr>
                <w:b/>
                <w:color w:val="000000"/>
              </w:rPr>
              <w:t>7,00,000</w:t>
            </w:r>
          </w:p>
        </w:tc>
      </w:tr>
    </w:tbl>
    <w:p w14:paraId="6523FC62" w14:textId="77777777" w:rsidR="00AA46EA" w:rsidRPr="00603D86" w:rsidRDefault="00AA46EA" w:rsidP="00AA46EA">
      <w:pPr>
        <w:pStyle w:val="ListParagraph"/>
        <w:numPr>
          <w:ilvl w:val="0"/>
          <w:numId w:val="1"/>
        </w:numPr>
        <w:autoSpaceDE w:val="0"/>
        <w:autoSpaceDN w:val="0"/>
        <w:adjustRightInd w:val="0"/>
        <w:spacing w:line="276" w:lineRule="auto"/>
        <w:jc w:val="both"/>
      </w:pPr>
      <w:r w:rsidRPr="00603D86">
        <w:t xml:space="preserve"> Amounts from these accounts to be transferred to RBL and BPCL by RTGS for </w:t>
      </w:r>
      <w:proofErr w:type="spellStart"/>
      <w:r w:rsidRPr="00603D86">
        <w:t>Happay</w:t>
      </w:r>
      <w:proofErr w:type="spellEnd"/>
      <w:r w:rsidRPr="00603D86">
        <w:t xml:space="preserve"> </w:t>
      </w:r>
      <w:r w:rsidRPr="00603D86">
        <w:lastRenderedPageBreak/>
        <w:t xml:space="preserve">cards and </w:t>
      </w:r>
      <w:proofErr w:type="spellStart"/>
      <w:r w:rsidRPr="00603D86">
        <w:t>petro</w:t>
      </w:r>
      <w:proofErr w:type="spellEnd"/>
      <w:r w:rsidRPr="00603D86">
        <w:t xml:space="preserve"> </w:t>
      </w:r>
      <w:proofErr w:type="gramStart"/>
      <w:r w:rsidRPr="00603D86">
        <w:t>cards</w:t>
      </w:r>
      <w:proofErr w:type="gramEnd"/>
      <w:r w:rsidRPr="00603D86">
        <w:t xml:space="preserve"> respectively. Accountant to collect expenses made on behalf of each project every Saturday without fail.</w:t>
      </w:r>
    </w:p>
    <w:p w14:paraId="30961B10" w14:textId="77777777" w:rsidR="00AA46EA" w:rsidRPr="00603D86" w:rsidRDefault="00AA46EA" w:rsidP="00AA46EA">
      <w:pPr>
        <w:pStyle w:val="ListParagraph"/>
        <w:numPr>
          <w:ilvl w:val="0"/>
          <w:numId w:val="1"/>
        </w:numPr>
        <w:autoSpaceDE w:val="0"/>
        <w:autoSpaceDN w:val="0"/>
        <w:adjustRightInd w:val="0"/>
        <w:spacing w:line="276" w:lineRule="auto"/>
        <w:jc w:val="both"/>
      </w:pPr>
      <w:r w:rsidRPr="00603D86">
        <w:t xml:space="preserve">The transfers from RBL to respective </w:t>
      </w:r>
      <w:proofErr w:type="spellStart"/>
      <w:r w:rsidRPr="00603D86">
        <w:t>Happay</w:t>
      </w:r>
      <w:proofErr w:type="spellEnd"/>
      <w:r w:rsidRPr="00603D86">
        <w:t xml:space="preserve"> accounts is controlled by web portal and the authority to operate the same has been given to the two accounts managers. The amounts can be transferred to the </w:t>
      </w:r>
      <w:proofErr w:type="spellStart"/>
      <w:r w:rsidRPr="00603D86">
        <w:t>Happay</w:t>
      </w:r>
      <w:proofErr w:type="spellEnd"/>
      <w:r w:rsidRPr="00603D86">
        <w:t xml:space="preserve"> cards instantly. Hereafter, issue of petty cash to the holders of </w:t>
      </w:r>
      <w:proofErr w:type="spellStart"/>
      <w:r w:rsidRPr="00603D86">
        <w:t>Happay</w:t>
      </w:r>
      <w:proofErr w:type="spellEnd"/>
      <w:r w:rsidRPr="00603D86">
        <w:t xml:space="preserve"> cards shall be stopped. Any payment to them by cash must be with MDs prior approval. Minimum balance to be maintained in the RBL account of MPPL &amp; MHPL </w:t>
      </w:r>
      <w:proofErr w:type="gramStart"/>
      <w:r w:rsidRPr="00603D86">
        <w:t>at all times</w:t>
      </w:r>
      <w:proofErr w:type="gramEnd"/>
      <w:r w:rsidRPr="00603D86">
        <w:t xml:space="preserve"> must be Rs. 1 lakh each.</w:t>
      </w:r>
    </w:p>
    <w:p w14:paraId="0998F807" w14:textId="77777777" w:rsidR="00AA46EA" w:rsidRPr="00603D86" w:rsidRDefault="00AA46EA" w:rsidP="00AA46EA">
      <w:pPr>
        <w:pStyle w:val="ListParagraph"/>
        <w:numPr>
          <w:ilvl w:val="0"/>
          <w:numId w:val="1"/>
        </w:numPr>
        <w:autoSpaceDE w:val="0"/>
        <w:autoSpaceDN w:val="0"/>
        <w:adjustRightInd w:val="0"/>
        <w:spacing w:line="276" w:lineRule="auto"/>
        <w:jc w:val="both"/>
      </w:pPr>
      <w:r w:rsidRPr="00603D86">
        <w:t xml:space="preserve">Statement of expenditure of </w:t>
      </w:r>
      <w:proofErr w:type="spellStart"/>
      <w:r w:rsidRPr="00603D86">
        <w:t>Happay</w:t>
      </w:r>
      <w:proofErr w:type="spellEnd"/>
      <w:r w:rsidRPr="00603D86">
        <w:t xml:space="preserve"> cards must be made through their mobile app. Training for the same will be given to all employees. Soft copy of expenditure statement to be mailed to respective accountants every Friday. Printout of expenditure statement along with vouchers shall be sent to HO every Saturday. On receipt of soft copy of statement respective accountants and accounts managers may immediately transfer the amounts spend as per statement to the </w:t>
      </w:r>
      <w:proofErr w:type="spellStart"/>
      <w:r w:rsidRPr="00603D86">
        <w:t>Happay</w:t>
      </w:r>
      <w:proofErr w:type="spellEnd"/>
      <w:r w:rsidRPr="00603D86">
        <w:t xml:space="preserve"> cards.</w:t>
      </w:r>
    </w:p>
    <w:p w14:paraId="4C6FD565" w14:textId="77777777" w:rsidR="00AA46EA" w:rsidRPr="00603D86" w:rsidRDefault="00AA46EA" w:rsidP="00AA46EA">
      <w:pPr>
        <w:pStyle w:val="ListParagraph"/>
        <w:numPr>
          <w:ilvl w:val="0"/>
          <w:numId w:val="1"/>
        </w:numPr>
        <w:autoSpaceDE w:val="0"/>
        <w:autoSpaceDN w:val="0"/>
        <w:adjustRightInd w:val="0"/>
        <w:spacing w:line="276" w:lineRule="auto"/>
        <w:jc w:val="both"/>
      </w:pPr>
      <w:r w:rsidRPr="00603D86">
        <w:t xml:space="preserve">Similarly, the transfers from BPCL to respective </w:t>
      </w:r>
      <w:proofErr w:type="spellStart"/>
      <w:r w:rsidRPr="00603D86">
        <w:t>petro</w:t>
      </w:r>
      <w:proofErr w:type="spellEnd"/>
      <w:r w:rsidRPr="00603D86">
        <w:t xml:space="preserve"> card accounts is controlled by web portal and the authority to operate the same has been given to the two admin managers. The amounts can be transferred to the </w:t>
      </w:r>
      <w:proofErr w:type="spellStart"/>
      <w:r w:rsidRPr="00603D86">
        <w:t>petro</w:t>
      </w:r>
      <w:proofErr w:type="spellEnd"/>
      <w:r w:rsidRPr="00603D86">
        <w:t xml:space="preserve"> cards instantly. Hereafter, issue of cash to the holders of </w:t>
      </w:r>
      <w:proofErr w:type="spellStart"/>
      <w:r w:rsidRPr="00603D86">
        <w:t>petro</w:t>
      </w:r>
      <w:proofErr w:type="spellEnd"/>
      <w:r w:rsidRPr="00603D86">
        <w:t xml:space="preserve"> cards for purpose of conveyance shall be stopped. Any payment to them by cash must be with MDs prior approval. Minimum balance to be maintained in the BPCL account </w:t>
      </w:r>
      <w:proofErr w:type="gramStart"/>
      <w:r w:rsidRPr="00603D86">
        <w:t>at all times</w:t>
      </w:r>
      <w:proofErr w:type="gramEnd"/>
      <w:r w:rsidRPr="00603D86">
        <w:t xml:space="preserve"> must be Rs. 1 lakh.</w:t>
      </w:r>
    </w:p>
    <w:p w14:paraId="795A6E03" w14:textId="77777777" w:rsidR="00AA46EA" w:rsidRPr="00603D86" w:rsidRDefault="00AA46EA" w:rsidP="00AA46EA">
      <w:pPr>
        <w:pStyle w:val="ListParagraph"/>
        <w:numPr>
          <w:ilvl w:val="0"/>
          <w:numId w:val="1"/>
        </w:numPr>
        <w:autoSpaceDE w:val="0"/>
        <w:autoSpaceDN w:val="0"/>
        <w:adjustRightInd w:val="0"/>
        <w:spacing w:line="276" w:lineRule="auto"/>
        <w:jc w:val="both"/>
      </w:pPr>
      <w:r w:rsidRPr="00603D86">
        <w:t xml:space="preserve">The </w:t>
      </w:r>
      <w:proofErr w:type="spellStart"/>
      <w:r w:rsidRPr="00603D86">
        <w:t>Happay</w:t>
      </w:r>
      <w:proofErr w:type="spellEnd"/>
      <w:r w:rsidRPr="00603D86">
        <w:t xml:space="preserve"> accounts with limits of expenditure are given in Annexure – I attached herein.</w:t>
      </w:r>
    </w:p>
    <w:p w14:paraId="1D3B5FA1" w14:textId="77777777" w:rsidR="00AA46EA" w:rsidRPr="00603D86" w:rsidRDefault="00AA46EA" w:rsidP="00AA46EA">
      <w:pPr>
        <w:pStyle w:val="ListParagraph"/>
        <w:numPr>
          <w:ilvl w:val="0"/>
          <w:numId w:val="1"/>
        </w:numPr>
        <w:autoSpaceDE w:val="0"/>
        <w:autoSpaceDN w:val="0"/>
        <w:adjustRightInd w:val="0"/>
        <w:spacing w:line="276" w:lineRule="auto"/>
        <w:jc w:val="both"/>
      </w:pPr>
      <w:r w:rsidRPr="00603D86">
        <w:t>For approval of payments for online purchases or cash beyond the limit specified use the standard pre-printed form. Or use the soft copy of it uploaded on the staff login page.</w:t>
      </w:r>
    </w:p>
    <w:p w14:paraId="09D064C1" w14:textId="77777777" w:rsidR="00AA46EA" w:rsidRPr="00603D86" w:rsidRDefault="00AA46EA" w:rsidP="00AA46EA">
      <w:pPr>
        <w:pStyle w:val="ListParagraph"/>
        <w:numPr>
          <w:ilvl w:val="0"/>
          <w:numId w:val="1"/>
        </w:numPr>
        <w:autoSpaceDE w:val="0"/>
        <w:autoSpaceDN w:val="0"/>
        <w:adjustRightInd w:val="0"/>
        <w:spacing w:line="276" w:lineRule="auto"/>
        <w:jc w:val="both"/>
      </w:pPr>
      <w:r w:rsidRPr="00603D86">
        <w:t xml:space="preserve">For large expenditure beyond Rs. 20,000/- cheque for RTGS must be collected from respective project in </w:t>
      </w:r>
      <w:proofErr w:type="spellStart"/>
      <w:r w:rsidRPr="00603D86">
        <w:t>favour</w:t>
      </w:r>
      <w:proofErr w:type="spellEnd"/>
      <w:r w:rsidRPr="00603D86">
        <w:t xml:space="preserve"> of MPPL and MHPL Axis bank a/c. From there it can be transferred by RTGS to respective RBL a/c.</w:t>
      </w:r>
    </w:p>
    <w:p w14:paraId="1AB5FB9C" w14:textId="77777777" w:rsidR="00AA46EA" w:rsidRPr="00603D86" w:rsidRDefault="00AA46EA" w:rsidP="00AA46EA">
      <w:pPr>
        <w:jc w:val="both"/>
      </w:pPr>
    </w:p>
    <w:p w14:paraId="52824BB0" w14:textId="77777777" w:rsidR="00AA46EA" w:rsidRPr="00603D86" w:rsidRDefault="00AA46EA" w:rsidP="00AA46EA"/>
    <w:p w14:paraId="6B9E8BBB" w14:textId="77777777" w:rsidR="00AA46EA" w:rsidRDefault="00AA46EA" w:rsidP="00AA46EA">
      <w:pPr>
        <w:ind w:left="360"/>
      </w:pPr>
      <w:r w:rsidRPr="00603D86">
        <w:t>Soham Modi</w:t>
      </w:r>
    </w:p>
    <w:p w14:paraId="7A3206E1" w14:textId="142FFC58" w:rsidR="004C4CBC" w:rsidRDefault="004C4CBC" w:rsidP="00AA46EA"/>
    <w:sectPr w:rsidR="004C4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90A9A"/>
    <w:multiLevelType w:val="hybridMultilevel"/>
    <w:tmpl w:val="968C0712"/>
    <w:lvl w:ilvl="0" w:tplc="9972529A">
      <w:start w:val="1"/>
      <w:numFmt w:val="lowerLetter"/>
      <w:lvlText w:val="%1."/>
      <w:lvlJc w:val="left"/>
      <w:pPr>
        <w:ind w:left="1080" w:hanging="360"/>
      </w:pPr>
      <w:rPr>
        <w:rFonts w:ascii="Times New Roman" w:eastAsia="Times New Roman"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2EED6F68"/>
    <w:multiLevelType w:val="hybridMultilevel"/>
    <w:tmpl w:val="295E44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A8"/>
    <w:rsid w:val="003E45A8"/>
    <w:rsid w:val="004C4CBC"/>
    <w:rsid w:val="00AA46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B1D4"/>
  <w15:chartTrackingRefBased/>
  <w15:docId w15:val="{08F4CB0C-1324-45DB-88C7-27FBAFD1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6E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A4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2020-09-09T17:48:00Z</cp:lastPrinted>
  <dcterms:created xsi:type="dcterms:W3CDTF">2020-09-09T17:47:00Z</dcterms:created>
  <dcterms:modified xsi:type="dcterms:W3CDTF">2020-09-09T17:48:00Z</dcterms:modified>
</cp:coreProperties>
</file>