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01B76" w14:textId="77777777" w:rsidR="006329BF" w:rsidRDefault="006329BF" w:rsidP="006329BF">
      <w:pPr>
        <w:autoSpaceDE w:val="0"/>
        <w:autoSpaceDN w:val="0"/>
        <w:adjustRightInd w:val="0"/>
        <w:ind w:left="142" w:right="141"/>
        <w:jc w:val="both"/>
        <w:rPr>
          <w:lang w:val="en-GB" w:eastAsia="en-GB"/>
        </w:rPr>
      </w:pPr>
      <w:r>
        <w:rPr>
          <w:lang w:val="en-GB" w:eastAsia="en-GB"/>
        </w:rPr>
        <w:t>Circular no. 468(a) – CR &amp; Promotions</w:t>
      </w:r>
      <w:r>
        <w:rPr>
          <w:lang w:val="en-GB" w:eastAsia="en-GB"/>
        </w:rPr>
        <w:tab/>
        <w:t xml:space="preserve"> </w:t>
      </w:r>
      <w:r>
        <w:rPr>
          <w:lang w:val="en-GB" w:eastAsia="en-GB"/>
        </w:rPr>
        <w:tab/>
      </w:r>
      <w:r>
        <w:rPr>
          <w:lang w:val="en-GB" w:eastAsia="en-GB"/>
        </w:rPr>
        <w:tab/>
      </w:r>
      <w:r>
        <w:rPr>
          <w:lang w:val="en-GB" w:eastAsia="en-GB"/>
        </w:rPr>
        <w:tab/>
      </w:r>
      <w:r>
        <w:rPr>
          <w:lang w:val="en-GB" w:eastAsia="en-GB"/>
        </w:rPr>
        <w:tab/>
        <w:t>Date 20.4.13</w:t>
      </w:r>
    </w:p>
    <w:p w14:paraId="107A2475" w14:textId="77777777" w:rsidR="006329BF" w:rsidRDefault="006329BF" w:rsidP="006329BF">
      <w:pPr>
        <w:autoSpaceDE w:val="0"/>
        <w:autoSpaceDN w:val="0"/>
        <w:adjustRightInd w:val="0"/>
        <w:ind w:left="142" w:right="141"/>
        <w:jc w:val="both"/>
        <w:rPr>
          <w:lang w:val="en-GB" w:eastAsia="en-GB"/>
        </w:rPr>
      </w:pPr>
    </w:p>
    <w:p w14:paraId="38D564E3" w14:textId="77777777" w:rsidR="006329BF" w:rsidRDefault="006329BF" w:rsidP="006329BF">
      <w:pPr>
        <w:autoSpaceDE w:val="0"/>
        <w:autoSpaceDN w:val="0"/>
        <w:adjustRightInd w:val="0"/>
        <w:ind w:left="142" w:right="141"/>
        <w:jc w:val="both"/>
        <w:rPr>
          <w:lang w:val="en-GB" w:eastAsia="en-GB"/>
        </w:rPr>
      </w:pPr>
      <w:proofErr w:type="gramStart"/>
      <w:r>
        <w:rPr>
          <w:lang w:val="en-GB" w:eastAsia="en-GB"/>
        </w:rPr>
        <w:t>Subject:-</w:t>
      </w:r>
      <w:proofErr w:type="gramEnd"/>
      <w:r>
        <w:rPr>
          <w:lang w:val="en-GB" w:eastAsia="en-GB"/>
        </w:rPr>
        <w:t xml:space="preserve"> VAT, Service Tax &amp; Registration charges.</w:t>
      </w:r>
    </w:p>
    <w:p w14:paraId="6D8C2946" w14:textId="77777777" w:rsidR="006329BF" w:rsidRDefault="006329BF" w:rsidP="006329BF">
      <w:pPr>
        <w:autoSpaceDE w:val="0"/>
        <w:autoSpaceDN w:val="0"/>
        <w:adjustRightInd w:val="0"/>
        <w:ind w:left="142" w:right="141"/>
        <w:jc w:val="both"/>
        <w:rPr>
          <w:lang w:val="en-GB" w:eastAsia="en-GB"/>
        </w:rPr>
      </w:pPr>
    </w:p>
    <w:p w14:paraId="35184BA1" w14:textId="77777777" w:rsidR="006329BF" w:rsidRDefault="006329BF" w:rsidP="006329BF">
      <w:pPr>
        <w:autoSpaceDE w:val="0"/>
        <w:autoSpaceDN w:val="0"/>
        <w:adjustRightInd w:val="0"/>
        <w:ind w:left="142" w:right="141"/>
        <w:jc w:val="both"/>
        <w:rPr>
          <w:lang w:val="en-GB" w:eastAsia="en-GB"/>
        </w:rPr>
      </w:pPr>
      <w:r>
        <w:rPr>
          <w:lang w:val="en-GB" w:eastAsia="en-GB"/>
        </w:rPr>
        <w:t xml:space="preserve">There has been revision in registrar’s rate and reduction in stamp duty charges, </w:t>
      </w:r>
      <w:proofErr w:type="gramStart"/>
      <w:r>
        <w:rPr>
          <w:lang w:val="en-GB" w:eastAsia="en-GB"/>
        </w:rPr>
        <w:t>as a result of</w:t>
      </w:r>
      <w:proofErr w:type="gramEnd"/>
      <w:r>
        <w:rPr>
          <w:lang w:val="en-GB" w:eastAsia="en-GB"/>
        </w:rPr>
        <w:t xml:space="preserve"> which the value of sale deed as a proportion of the entire sale consideration has gone up.</w:t>
      </w:r>
    </w:p>
    <w:p w14:paraId="001A3A3B" w14:textId="77777777" w:rsidR="006329BF" w:rsidRDefault="006329BF" w:rsidP="006329BF">
      <w:pPr>
        <w:autoSpaceDE w:val="0"/>
        <w:autoSpaceDN w:val="0"/>
        <w:adjustRightInd w:val="0"/>
        <w:ind w:left="142" w:right="141"/>
        <w:jc w:val="both"/>
        <w:rPr>
          <w:lang w:val="en-GB" w:eastAsia="en-GB"/>
        </w:rPr>
      </w:pPr>
    </w:p>
    <w:p w14:paraId="09389BA4" w14:textId="77777777" w:rsidR="006329BF" w:rsidRDefault="006329BF" w:rsidP="006329BF">
      <w:pPr>
        <w:autoSpaceDE w:val="0"/>
        <w:autoSpaceDN w:val="0"/>
        <w:adjustRightInd w:val="0"/>
        <w:ind w:left="142" w:right="141"/>
        <w:jc w:val="both"/>
        <w:rPr>
          <w:lang w:val="en-GB" w:eastAsia="en-GB"/>
        </w:rPr>
      </w:pPr>
      <w:r>
        <w:rPr>
          <w:lang w:val="en-GB" w:eastAsia="en-GB"/>
        </w:rPr>
        <w:t>The ambiguity in applicability in service tax has increased and its likely to get further complicated. Similarly, litigation has arisen regarding applicability of VAT where the government is demanding VAT @ 5% on the value of agreement of construction in place of 1.25%.</w:t>
      </w:r>
    </w:p>
    <w:p w14:paraId="5BB78A84" w14:textId="77777777" w:rsidR="006329BF" w:rsidRDefault="006329BF" w:rsidP="006329BF">
      <w:pPr>
        <w:autoSpaceDE w:val="0"/>
        <w:autoSpaceDN w:val="0"/>
        <w:adjustRightInd w:val="0"/>
        <w:ind w:left="142" w:right="141"/>
        <w:jc w:val="both"/>
        <w:rPr>
          <w:lang w:val="en-GB" w:eastAsia="en-GB"/>
        </w:rPr>
      </w:pPr>
    </w:p>
    <w:p w14:paraId="2B49CB0D" w14:textId="77777777" w:rsidR="006329BF" w:rsidRDefault="006329BF" w:rsidP="006329BF">
      <w:pPr>
        <w:autoSpaceDE w:val="0"/>
        <w:autoSpaceDN w:val="0"/>
        <w:adjustRightInd w:val="0"/>
        <w:ind w:left="142" w:right="141"/>
        <w:jc w:val="both"/>
        <w:rPr>
          <w:lang w:val="en-GB" w:eastAsia="en-GB"/>
        </w:rPr>
      </w:pPr>
      <w:r>
        <w:rPr>
          <w:lang w:val="en-GB" w:eastAsia="en-GB"/>
        </w:rPr>
        <w:t xml:space="preserve">Therefore, </w:t>
      </w:r>
      <w:proofErr w:type="gramStart"/>
      <w:r>
        <w:rPr>
          <w:lang w:val="en-GB" w:eastAsia="en-GB"/>
        </w:rPr>
        <w:t>in order to</w:t>
      </w:r>
      <w:proofErr w:type="gramEnd"/>
      <w:r>
        <w:rPr>
          <w:lang w:val="en-GB" w:eastAsia="en-GB"/>
        </w:rPr>
        <w:t xml:space="preserve"> minimize the incidence of tax and to reduce the possibility of litigation the</w:t>
      </w:r>
    </w:p>
    <w:p w14:paraId="48FF8BDC" w14:textId="77777777" w:rsidR="006329BF" w:rsidRDefault="006329BF" w:rsidP="006329BF">
      <w:pPr>
        <w:autoSpaceDE w:val="0"/>
        <w:autoSpaceDN w:val="0"/>
        <w:adjustRightInd w:val="0"/>
        <w:ind w:left="142" w:right="141"/>
        <w:jc w:val="both"/>
        <w:rPr>
          <w:lang w:val="en-GB" w:eastAsia="en-GB"/>
        </w:rPr>
      </w:pPr>
      <w:r>
        <w:rPr>
          <w:lang w:val="en-GB" w:eastAsia="en-GB"/>
        </w:rPr>
        <w:t xml:space="preserve">value of agreement of construction </w:t>
      </w:r>
      <w:proofErr w:type="gramStart"/>
      <w:r>
        <w:rPr>
          <w:lang w:val="en-GB" w:eastAsia="en-GB"/>
        </w:rPr>
        <w:t>has to</w:t>
      </w:r>
      <w:proofErr w:type="gramEnd"/>
      <w:r>
        <w:rPr>
          <w:lang w:val="en-GB" w:eastAsia="en-GB"/>
        </w:rPr>
        <w:t xml:space="preserve"> be minimized or made nil. Hereafter, the ratio of sale deed: agreement of construction values shall be as under.</w:t>
      </w:r>
    </w:p>
    <w:p w14:paraId="0EA56478" w14:textId="77777777" w:rsidR="006329BF" w:rsidRDefault="006329BF" w:rsidP="006329BF">
      <w:pPr>
        <w:autoSpaceDE w:val="0"/>
        <w:autoSpaceDN w:val="0"/>
        <w:adjustRightInd w:val="0"/>
        <w:ind w:left="709" w:right="141"/>
        <w:jc w:val="both"/>
        <w:rPr>
          <w:lang w:val="en-GB" w:eastAsia="en-GB"/>
        </w:rPr>
      </w:pPr>
    </w:p>
    <w:p w14:paraId="7A0C187F" w14:textId="77777777" w:rsidR="006329BF" w:rsidRDefault="006329BF" w:rsidP="006329BF">
      <w:pPr>
        <w:numPr>
          <w:ilvl w:val="0"/>
          <w:numId w:val="3"/>
        </w:numPr>
        <w:autoSpaceDE w:val="0"/>
        <w:autoSpaceDN w:val="0"/>
        <w:adjustRightInd w:val="0"/>
        <w:ind w:right="141"/>
        <w:jc w:val="both"/>
        <w:rPr>
          <w:lang w:val="en-GB" w:eastAsia="en-GB"/>
        </w:rPr>
      </w:pPr>
      <w:r w:rsidRPr="00181772">
        <w:rPr>
          <w:lang w:val="en-GB" w:eastAsia="en-GB"/>
        </w:rPr>
        <w:t xml:space="preserve">PMR, GWE, MFH &amp; GMG. For all bookings made after receipt of occupancy certificate the ratio shall be 100:0. No service tax to be collected or paid. For bookings made earlier, the ratio shall be 75:25 &amp; service tax shall be collected @ 4.944% value of agreement of construction. The details of receipt of occupancy certificate (in case of GMG – G block and GWE – A &amp; B </w:t>
      </w:r>
      <w:proofErr w:type="gramStart"/>
      <w:r w:rsidRPr="00181772">
        <w:rPr>
          <w:lang w:val="en-GB" w:eastAsia="en-GB"/>
        </w:rPr>
        <w:t>blocks chartered</w:t>
      </w:r>
      <w:proofErr w:type="gramEnd"/>
      <w:r w:rsidRPr="00181772">
        <w:rPr>
          <w:lang w:val="en-GB" w:eastAsia="en-GB"/>
        </w:rPr>
        <w:t xml:space="preserve"> value</w:t>
      </w:r>
      <w:r>
        <w:rPr>
          <w:lang w:val="en-GB" w:eastAsia="en-GB"/>
        </w:rPr>
        <w:t xml:space="preserve"> </w:t>
      </w:r>
      <w:r w:rsidRPr="00181772">
        <w:rPr>
          <w:lang w:val="en-GB" w:eastAsia="en-GB"/>
        </w:rPr>
        <w:t>certificate is adopted as OC date) are:</w:t>
      </w:r>
    </w:p>
    <w:p w14:paraId="3D14B639" w14:textId="77777777" w:rsidR="006329BF" w:rsidRPr="00181772" w:rsidRDefault="006329BF" w:rsidP="006329BF">
      <w:pPr>
        <w:autoSpaceDE w:val="0"/>
        <w:autoSpaceDN w:val="0"/>
        <w:adjustRightInd w:val="0"/>
        <w:ind w:left="709" w:right="141"/>
        <w:jc w:val="both"/>
        <w:rPr>
          <w:lang w:val="en-GB" w:eastAsia="en-GB"/>
        </w:rPr>
      </w:pPr>
    </w:p>
    <w:p w14:paraId="5E9F8CBC" w14:textId="77777777" w:rsidR="006329BF" w:rsidRDefault="006329BF" w:rsidP="006329BF">
      <w:pPr>
        <w:numPr>
          <w:ilvl w:val="0"/>
          <w:numId w:val="2"/>
        </w:numPr>
        <w:autoSpaceDE w:val="0"/>
        <w:autoSpaceDN w:val="0"/>
        <w:adjustRightInd w:val="0"/>
        <w:ind w:right="141"/>
        <w:jc w:val="both"/>
        <w:rPr>
          <w:lang w:val="en-GB" w:eastAsia="en-GB"/>
        </w:rPr>
      </w:pPr>
      <w:r>
        <w:rPr>
          <w:lang w:val="en-GB" w:eastAsia="en-GB"/>
        </w:rPr>
        <w:t>MFH – A block -04.11.2010</w:t>
      </w:r>
    </w:p>
    <w:p w14:paraId="29E6F4F2" w14:textId="77777777" w:rsidR="006329BF" w:rsidRDefault="006329BF" w:rsidP="006329BF">
      <w:pPr>
        <w:numPr>
          <w:ilvl w:val="0"/>
          <w:numId w:val="2"/>
        </w:numPr>
        <w:autoSpaceDE w:val="0"/>
        <w:autoSpaceDN w:val="0"/>
        <w:adjustRightInd w:val="0"/>
        <w:ind w:right="141"/>
        <w:jc w:val="both"/>
        <w:rPr>
          <w:lang w:val="en-GB" w:eastAsia="en-GB"/>
        </w:rPr>
      </w:pPr>
      <w:r>
        <w:rPr>
          <w:lang w:val="en-GB" w:eastAsia="en-GB"/>
        </w:rPr>
        <w:t>MFH – B block -13.04.2010</w:t>
      </w:r>
    </w:p>
    <w:p w14:paraId="1C4FA9EE" w14:textId="77777777" w:rsidR="006329BF" w:rsidRDefault="006329BF" w:rsidP="006329BF">
      <w:pPr>
        <w:numPr>
          <w:ilvl w:val="0"/>
          <w:numId w:val="2"/>
        </w:numPr>
        <w:autoSpaceDE w:val="0"/>
        <w:autoSpaceDN w:val="0"/>
        <w:adjustRightInd w:val="0"/>
        <w:ind w:right="141"/>
        <w:jc w:val="both"/>
        <w:rPr>
          <w:lang w:val="en-GB" w:eastAsia="en-GB"/>
        </w:rPr>
      </w:pPr>
      <w:r>
        <w:rPr>
          <w:lang w:val="en-GB" w:eastAsia="en-GB"/>
        </w:rPr>
        <w:t>MFH – C block -23.03.2011</w:t>
      </w:r>
    </w:p>
    <w:p w14:paraId="3736C3E9" w14:textId="77777777" w:rsidR="006329BF" w:rsidRDefault="006329BF" w:rsidP="006329BF">
      <w:pPr>
        <w:numPr>
          <w:ilvl w:val="0"/>
          <w:numId w:val="2"/>
        </w:numPr>
        <w:autoSpaceDE w:val="0"/>
        <w:autoSpaceDN w:val="0"/>
        <w:adjustRightInd w:val="0"/>
        <w:ind w:right="141"/>
        <w:jc w:val="both"/>
        <w:rPr>
          <w:lang w:val="en-GB" w:eastAsia="en-GB"/>
        </w:rPr>
      </w:pPr>
      <w:r>
        <w:rPr>
          <w:lang w:val="en-GB" w:eastAsia="en-GB"/>
        </w:rPr>
        <w:t>PMR – All blocks -16.04.2009</w:t>
      </w:r>
    </w:p>
    <w:p w14:paraId="4B06A12E" w14:textId="77777777" w:rsidR="006329BF" w:rsidRDefault="006329BF" w:rsidP="006329BF">
      <w:pPr>
        <w:numPr>
          <w:ilvl w:val="0"/>
          <w:numId w:val="2"/>
        </w:numPr>
        <w:autoSpaceDE w:val="0"/>
        <w:autoSpaceDN w:val="0"/>
        <w:adjustRightInd w:val="0"/>
        <w:ind w:right="141"/>
        <w:jc w:val="both"/>
        <w:rPr>
          <w:lang w:val="en-GB" w:eastAsia="en-GB"/>
        </w:rPr>
      </w:pPr>
      <w:r>
        <w:rPr>
          <w:lang w:val="en-GB" w:eastAsia="en-GB"/>
        </w:rPr>
        <w:t xml:space="preserve">GWE – A block flat </w:t>
      </w:r>
      <w:proofErr w:type="spellStart"/>
      <w:r>
        <w:rPr>
          <w:lang w:val="en-GB" w:eastAsia="en-GB"/>
        </w:rPr>
        <w:t>nos</w:t>
      </w:r>
      <w:proofErr w:type="spellEnd"/>
      <w:r>
        <w:rPr>
          <w:lang w:val="en-GB" w:eastAsia="en-GB"/>
        </w:rPr>
        <w:t xml:space="preserve"> 1 to 12-14.09.2011</w:t>
      </w:r>
    </w:p>
    <w:p w14:paraId="58622BE4" w14:textId="77777777" w:rsidR="006329BF" w:rsidRDefault="006329BF" w:rsidP="006329BF">
      <w:pPr>
        <w:numPr>
          <w:ilvl w:val="0"/>
          <w:numId w:val="2"/>
        </w:numPr>
        <w:autoSpaceDE w:val="0"/>
        <w:autoSpaceDN w:val="0"/>
        <w:adjustRightInd w:val="0"/>
        <w:ind w:right="141"/>
        <w:jc w:val="both"/>
        <w:rPr>
          <w:lang w:val="en-GB" w:eastAsia="en-GB"/>
        </w:rPr>
      </w:pPr>
      <w:r>
        <w:rPr>
          <w:lang w:val="en-GB" w:eastAsia="en-GB"/>
        </w:rPr>
        <w:t xml:space="preserve">GWE – A block flat </w:t>
      </w:r>
      <w:proofErr w:type="spellStart"/>
      <w:r>
        <w:rPr>
          <w:lang w:val="en-GB" w:eastAsia="en-GB"/>
        </w:rPr>
        <w:t>nos</w:t>
      </w:r>
      <w:proofErr w:type="spellEnd"/>
      <w:r>
        <w:rPr>
          <w:lang w:val="en-GB" w:eastAsia="en-GB"/>
        </w:rPr>
        <w:t xml:space="preserve"> 13 to 20 -14.04.2012</w:t>
      </w:r>
    </w:p>
    <w:p w14:paraId="493A9CEC" w14:textId="77777777" w:rsidR="006329BF" w:rsidRDefault="006329BF" w:rsidP="006329BF">
      <w:pPr>
        <w:numPr>
          <w:ilvl w:val="0"/>
          <w:numId w:val="2"/>
        </w:numPr>
        <w:autoSpaceDE w:val="0"/>
        <w:autoSpaceDN w:val="0"/>
        <w:adjustRightInd w:val="0"/>
        <w:ind w:right="141"/>
        <w:jc w:val="both"/>
        <w:rPr>
          <w:lang w:val="en-GB" w:eastAsia="en-GB"/>
        </w:rPr>
      </w:pPr>
      <w:r>
        <w:rPr>
          <w:lang w:val="en-GB" w:eastAsia="en-GB"/>
        </w:rPr>
        <w:t xml:space="preserve">GWE – A block flats </w:t>
      </w:r>
      <w:proofErr w:type="spellStart"/>
      <w:r>
        <w:rPr>
          <w:lang w:val="en-GB" w:eastAsia="en-GB"/>
        </w:rPr>
        <w:t>nos</w:t>
      </w:r>
      <w:proofErr w:type="spellEnd"/>
      <w:r>
        <w:rPr>
          <w:lang w:val="en-GB" w:eastAsia="en-GB"/>
        </w:rPr>
        <w:t xml:space="preserve"> 21 to 34 -1.12.2012</w:t>
      </w:r>
    </w:p>
    <w:p w14:paraId="68A2F46E" w14:textId="77777777" w:rsidR="006329BF" w:rsidRDefault="006329BF" w:rsidP="006329BF">
      <w:pPr>
        <w:numPr>
          <w:ilvl w:val="0"/>
          <w:numId w:val="2"/>
        </w:numPr>
        <w:autoSpaceDE w:val="0"/>
        <w:autoSpaceDN w:val="0"/>
        <w:adjustRightInd w:val="0"/>
        <w:ind w:right="141"/>
        <w:jc w:val="both"/>
        <w:rPr>
          <w:lang w:val="en-GB" w:eastAsia="en-GB"/>
        </w:rPr>
      </w:pPr>
      <w:r>
        <w:rPr>
          <w:lang w:val="en-GB" w:eastAsia="en-GB"/>
        </w:rPr>
        <w:t>GWE – B block -20.02.2013</w:t>
      </w:r>
    </w:p>
    <w:p w14:paraId="4E8812FA" w14:textId="77777777" w:rsidR="006329BF" w:rsidRDefault="006329BF" w:rsidP="006329BF">
      <w:pPr>
        <w:numPr>
          <w:ilvl w:val="0"/>
          <w:numId w:val="2"/>
        </w:numPr>
        <w:autoSpaceDE w:val="0"/>
        <w:autoSpaceDN w:val="0"/>
        <w:adjustRightInd w:val="0"/>
        <w:ind w:right="141"/>
        <w:jc w:val="both"/>
        <w:rPr>
          <w:lang w:val="en-GB" w:eastAsia="en-GB"/>
        </w:rPr>
      </w:pPr>
      <w:r>
        <w:rPr>
          <w:lang w:val="en-GB" w:eastAsia="en-GB"/>
        </w:rPr>
        <w:t>GWE – C block -04.11.2011</w:t>
      </w:r>
    </w:p>
    <w:p w14:paraId="554CD3B1" w14:textId="77777777" w:rsidR="006329BF" w:rsidRDefault="006329BF" w:rsidP="006329BF">
      <w:pPr>
        <w:numPr>
          <w:ilvl w:val="0"/>
          <w:numId w:val="2"/>
        </w:numPr>
        <w:autoSpaceDE w:val="0"/>
        <w:autoSpaceDN w:val="0"/>
        <w:adjustRightInd w:val="0"/>
        <w:ind w:right="141"/>
        <w:jc w:val="both"/>
        <w:rPr>
          <w:lang w:val="en-GB" w:eastAsia="en-GB"/>
        </w:rPr>
      </w:pPr>
      <w:r>
        <w:rPr>
          <w:lang w:val="en-GB" w:eastAsia="en-GB"/>
        </w:rPr>
        <w:t>GMG – G block -26.09.2012</w:t>
      </w:r>
    </w:p>
    <w:p w14:paraId="7F620317" w14:textId="77777777" w:rsidR="006329BF" w:rsidRDefault="006329BF" w:rsidP="006329BF">
      <w:pPr>
        <w:autoSpaceDE w:val="0"/>
        <w:autoSpaceDN w:val="0"/>
        <w:adjustRightInd w:val="0"/>
        <w:ind w:left="709" w:right="141"/>
        <w:jc w:val="both"/>
        <w:rPr>
          <w:lang w:val="en-GB" w:eastAsia="en-GB"/>
        </w:rPr>
      </w:pPr>
    </w:p>
    <w:p w14:paraId="6E1D88BB" w14:textId="77777777" w:rsidR="006329BF" w:rsidRDefault="006329BF" w:rsidP="006329BF">
      <w:pPr>
        <w:numPr>
          <w:ilvl w:val="0"/>
          <w:numId w:val="1"/>
        </w:numPr>
        <w:autoSpaceDE w:val="0"/>
        <w:autoSpaceDN w:val="0"/>
        <w:adjustRightInd w:val="0"/>
        <w:ind w:right="141"/>
        <w:jc w:val="both"/>
        <w:rPr>
          <w:lang w:val="en-GB" w:eastAsia="en-GB"/>
        </w:rPr>
      </w:pPr>
      <w:r w:rsidRPr="00181772">
        <w:rPr>
          <w:lang w:val="en-GB" w:eastAsia="en-GB"/>
        </w:rPr>
        <w:t>Vista / PMR – II: All sale deeds will be executed after receipt of entire payment. Agreement of construction need not be made. For housing loans tripartite agreement to be made with HFCs. Only in exceptional cases with prior permission of MD the ratio can be 75:25. Service tax to be collected in either case @ 3.09% on the entire</w:t>
      </w:r>
      <w:r>
        <w:rPr>
          <w:lang w:val="en-GB" w:eastAsia="en-GB"/>
        </w:rPr>
        <w:t xml:space="preserve"> </w:t>
      </w:r>
      <w:r w:rsidRPr="00181772">
        <w:rPr>
          <w:lang w:val="en-GB" w:eastAsia="en-GB"/>
        </w:rPr>
        <w:t>sale consideration.</w:t>
      </w:r>
    </w:p>
    <w:p w14:paraId="7E13660A" w14:textId="77777777" w:rsidR="006329BF" w:rsidRDefault="006329BF" w:rsidP="006329BF">
      <w:pPr>
        <w:autoSpaceDE w:val="0"/>
        <w:autoSpaceDN w:val="0"/>
        <w:adjustRightInd w:val="0"/>
        <w:ind w:left="709" w:right="141"/>
        <w:jc w:val="both"/>
        <w:rPr>
          <w:lang w:val="en-GB" w:eastAsia="en-GB"/>
        </w:rPr>
      </w:pPr>
    </w:p>
    <w:p w14:paraId="493E946E" w14:textId="77777777" w:rsidR="006329BF" w:rsidRPr="00181772" w:rsidRDefault="006329BF" w:rsidP="006329BF">
      <w:pPr>
        <w:numPr>
          <w:ilvl w:val="0"/>
          <w:numId w:val="1"/>
        </w:numPr>
        <w:autoSpaceDE w:val="0"/>
        <w:autoSpaceDN w:val="0"/>
        <w:adjustRightInd w:val="0"/>
        <w:ind w:right="141"/>
        <w:jc w:val="both"/>
        <w:rPr>
          <w:lang w:val="en-GB" w:eastAsia="en-GB"/>
        </w:rPr>
      </w:pPr>
      <w:r w:rsidRPr="00181772">
        <w:rPr>
          <w:lang w:val="en-GB" w:eastAsia="en-GB"/>
        </w:rPr>
        <w:t xml:space="preserve">VSC, SOB, KNM &amp; MNM: In cases where villas are already been fully completed and completion certificate obtained from chartered engineer before the date of booking the ratio shall be 100:0 and no service tax shall be collected or paid. In other </w:t>
      </w:r>
      <w:proofErr w:type="gramStart"/>
      <w:r w:rsidRPr="00181772">
        <w:rPr>
          <w:lang w:val="en-GB" w:eastAsia="en-GB"/>
        </w:rPr>
        <w:t>cases</w:t>
      </w:r>
      <w:proofErr w:type="gramEnd"/>
      <w:r w:rsidRPr="00181772">
        <w:rPr>
          <w:lang w:val="en-GB" w:eastAsia="en-GB"/>
        </w:rPr>
        <w:t xml:space="preserve"> the ratio shall be 75:25 and service tax collected @ 4.944% of the agreement of</w:t>
      </w:r>
      <w:r>
        <w:rPr>
          <w:lang w:val="en-GB" w:eastAsia="en-GB"/>
        </w:rPr>
        <w:t xml:space="preserve"> </w:t>
      </w:r>
      <w:r w:rsidRPr="00181772">
        <w:rPr>
          <w:lang w:val="en-GB" w:eastAsia="en-GB"/>
        </w:rPr>
        <w:t>the construction value</w:t>
      </w:r>
      <w:r>
        <w:rPr>
          <w:lang w:val="en-GB" w:eastAsia="en-GB"/>
        </w:rPr>
        <w:t>.</w:t>
      </w:r>
    </w:p>
    <w:p w14:paraId="00D1111D" w14:textId="77777777" w:rsidR="006329BF" w:rsidRDefault="006329BF" w:rsidP="006329BF">
      <w:pPr>
        <w:autoSpaceDE w:val="0"/>
        <w:autoSpaceDN w:val="0"/>
        <w:adjustRightInd w:val="0"/>
        <w:ind w:left="709" w:right="141"/>
        <w:jc w:val="both"/>
        <w:rPr>
          <w:lang w:val="en-GB" w:eastAsia="en-GB"/>
        </w:rPr>
      </w:pPr>
    </w:p>
    <w:p w14:paraId="6F8A2E25" w14:textId="77777777" w:rsidR="006329BF" w:rsidRDefault="006329BF" w:rsidP="006329BF">
      <w:pPr>
        <w:numPr>
          <w:ilvl w:val="0"/>
          <w:numId w:val="1"/>
        </w:numPr>
        <w:autoSpaceDE w:val="0"/>
        <w:autoSpaceDN w:val="0"/>
        <w:adjustRightInd w:val="0"/>
        <w:ind w:right="141"/>
        <w:jc w:val="both"/>
        <w:rPr>
          <w:lang w:val="en-GB" w:eastAsia="en-GB"/>
        </w:rPr>
      </w:pPr>
      <w:r>
        <w:rPr>
          <w:lang w:val="en-GB" w:eastAsia="en-GB"/>
        </w:rPr>
        <w:t>In all the above cases registration charges shall be @ 6.0% of the sale deed value and VAT shall be @ 1.25% of the entire sale consideration.</w:t>
      </w:r>
    </w:p>
    <w:p w14:paraId="23192C84" w14:textId="77777777" w:rsidR="006329BF" w:rsidRDefault="006329BF" w:rsidP="006329BF">
      <w:pPr>
        <w:numPr>
          <w:ilvl w:val="0"/>
          <w:numId w:val="1"/>
        </w:numPr>
        <w:autoSpaceDE w:val="0"/>
        <w:autoSpaceDN w:val="0"/>
        <w:adjustRightInd w:val="0"/>
        <w:ind w:right="141"/>
        <w:jc w:val="both"/>
        <w:rPr>
          <w:lang w:val="en-GB" w:eastAsia="en-GB"/>
        </w:rPr>
      </w:pPr>
      <w:r>
        <w:rPr>
          <w:lang w:val="en-GB" w:eastAsia="en-GB"/>
        </w:rPr>
        <w:lastRenderedPageBreak/>
        <w:t>An attempt must be made to ensure that all housing loans are through tripartite agreements.</w:t>
      </w:r>
    </w:p>
    <w:p w14:paraId="17CD98B3" w14:textId="77777777" w:rsidR="006329BF" w:rsidRDefault="006329BF" w:rsidP="006329BF">
      <w:pPr>
        <w:numPr>
          <w:ilvl w:val="0"/>
          <w:numId w:val="1"/>
        </w:numPr>
        <w:autoSpaceDE w:val="0"/>
        <w:autoSpaceDN w:val="0"/>
        <w:adjustRightInd w:val="0"/>
        <w:ind w:right="141"/>
        <w:jc w:val="both"/>
        <w:rPr>
          <w:lang w:val="en-GB" w:eastAsia="en-GB"/>
        </w:rPr>
      </w:pPr>
      <w:r>
        <w:rPr>
          <w:lang w:val="en-GB" w:eastAsia="en-GB"/>
        </w:rPr>
        <w:t>VAT and registration charges as applicable for both villas and flats must be remitted to government on the date of registration.</w:t>
      </w:r>
    </w:p>
    <w:p w14:paraId="4567CF36" w14:textId="77777777" w:rsidR="006329BF" w:rsidRDefault="006329BF" w:rsidP="006329BF">
      <w:pPr>
        <w:autoSpaceDE w:val="0"/>
        <w:autoSpaceDN w:val="0"/>
        <w:adjustRightInd w:val="0"/>
        <w:ind w:left="786" w:right="141"/>
        <w:jc w:val="both"/>
        <w:rPr>
          <w:lang w:val="en-GB" w:eastAsia="en-GB"/>
        </w:rPr>
      </w:pPr>
    </w:p>
    <w:p w14:paraId="3A852FB2" w14:textId="77777777" w:rsidR="006329BF" w:rsidRDefault="006329BF" w:rsidP="006329BF">
      <w:pPr>
        <w:numPr>
          <w:ilvl w:val="0"/>
          <w:numId w:val="1"/>
        </w:numPr>
        <w:autoSpaceDE w:val="0"/>
        <w:autoSpaceDN w:val="0"/>
        <w:adjustRightInd w:val="0"/>
        <w:ind w:right="1165"/>
        <w:jc w:val="both"/>
        <w:rPr>
          <w:lang w:val="en-GB" w:eastAsia="en-GB"/>
        </w:rPr>
      </w:pPr>
      <w:r>
        <w:rPr>
          <w:lang w:val="en-GB" w:eastAsia="en-GB"/>
        </w:rPr>
        <w:t xml:space="preserve">Service tax to be paid </w:t>
      </w:r>
      <w:proofErr w:type="gramStart"/>
      <w:r>
        <w:rPr>
          <w:lang w:val="en-GB" w:eastAsia="en-GB"/>
        </w:rPr>
        <w:t>on a monthly basis</w:t>
      </w:r>
      <w:proofErr w:type="gramEnd"/>
      <w:r>
        <w:rPr>
          <w:lang w:val="en-GB" w:eastAsia="en-GB"/>
        </w:rPr>
        <w:t xml:space="preserve"> by 15</w:t>
      </w:r>
      <w:r>
        <w:rPr>
          <w:sz w:val="16"/>
          <w:szCs w:val="16"/>
          <w:lang w:val="en-GB" w:eastAsia="en-GB"/>
        </w:rPr>
        <w:t xml:space="preserve">th </w:t>
      </w:r>
      <w:r>
        <w:rPr>
          <w:lang w:val="en-GB" w:eastAsia="en-GB"/>
        </w:rPr>
        <w:t>of the subsequent month based on the receipts.</w:t>
      </w:r>
    </w:p>
    <w:p w14:paraId="22839AC7" w14:textId="77777777" w:rsidR="006329BF" w:rsidRDefault="006329BF" w:rsidP="006329BF">
      <w:pPr>
        <w:numPr>
          <w:ilvl w:val="0"/>
          <w:numId w:val="1"/>
        </w:numPr>
        <w:autoSpaceDE w:val="0"/>
        <w:autoSpaceDN w:val="0"/>
        <w:adjustRightInd w:val="0"/>
        <w:ind w:right="1165"/>
        <w:jc w:val="both"/>
        <w:rPr>
          <w:lang w:val="en-GB" w:eastAsia="en-GB"/>
        </w:rPr>
      </w:pPr>
      <w:r>
        <w:rPr>
          <w:lang w:val="en-GB" w:eastAsia="en-GB"/>
        </w:rPr>
        <w:t>Calculations given to customers on earlier dates were subject to change from time to time and notwithstanding the calculations given earlier the new rates as per this memo shall be applicable.</w:t>
      </w:r>
    </w:p>
    <w:p w14:paraId="2DD59957" w14:textId="77777777" w:rsidR="006329BF" w:rsidRDefault="006329BF" w:rsidP="006329BF">
      <w:pPr>
        <w:numPr>
          <w:ilvl w:val="0"/>
          <w:numId w:val="1"/>
        </w:numPr>
        <w:autoSpaceDE w:val="0"/>
        <w:autoSpaceDN w:val="0"/>
        <w:adjustRightInd w:val="0"/>
        <w:ind w:right="1165"/>
        <w:jc w:val="both"/>
        <w:rPr>
          <w:lang w:val="en-GB" w:eastAsia="en-GB"/>
        </w:rPr>
      </w:pPr>
      <w:r>
        <w:rPr>
          <w:lang w:val="en-GB" w:eastAsia="en-GB"/>
        </w:rPr>
        <w:t>In all project except when stated otherwise in cases of free registration offer the ratio shall be 40:60 and service tax collected @ 4.944% of the agreement of the construction value.</w:t>
      </w:r>
    </w:p>
    <w:p w14:paraId="7668584C" w14:textId="77777777" w:rsidR="006329BF" w:rsidRDefault="006329BF" w:rsidP="006329BF">
      <w:pPr>
        <w:autoSpaceDE w:val="0"/>
        <w:autoSpaceDN w:val="0"/>
        <w:adjustRightInd w:val="0"/>
        <w:ind w:left="786" w:right="1165"/>
        <w:jc w:val="both"/>
        <w:rPr>
          <w:lang w:val="en-GB" w:eastAsia="en-GB"/>
        </w:rPr>
      </w:pPr>
    </w:p>
    <w:p w14:paraId="1C105692" w14:textId="77777777" w:rsidR="006329BF" w:rsidRDefault="006329BF" w:rsidP="006329BF">
      <w:pPr>
        <w:autoSpaceDE w:val="0"/>
        <w:autoSpaceDN w:val="0"/>
        <w:adjustRightInd w:val="0"/>
        <w:ind w:left="426" w:right="1165"/>
        <w:jc w:val="both"/>
        <w:rPr>
          <w:lang w:val="en-GB" w:eastAsia="en-GB"/>
        </w:rPr>
      </w:pPr>
      <w:r>
        <w:rPr>
          <w:lang w:val="en-GB" w:eastAsia="en-GB"/>
        </w:rPr>
        <w:t>A tax calculator with new rates is attached herein. In case of PMR – II the calculator for Vista</w:t>
      </w:r>
    </w:p>
    <w:p w14:paraId="39D5D55D" w14:textId="77777777" w:rsidR="006329BF" w:rsidRDefault="006329BF" w:rsidP="006329BF">
      <w:pPr>
        <w:autoSpaceDE w:val="0"/>
        <w:autoSpaceDN w:val="0"/>
        <w:adjustRightInd w:val="0"/>
        <w:ind w:left="426" w:right="1165"/>
        <w:jc w:val="both"/>
        <w:rPr>
          <w:lang w:val="en-GB" w:eastAsia="en-GB"/>
        </w:rPr>
      </w:pPr>
      <w:r>
        <w:rPr>
          <w:lang w:val="en-GB" w:eastAsia="en-GB"/>
        </w:rPr>
        <w:t>can be temporarily used till the new calculator is provided.</w:t>
      </w:r>
    </w:p>
    <w:p w14:paraId="5B671EB6" w14:textId="77777777" w:rsidR="006329BF" w:rsidRDefault="006329BF" w:rsidP="006329BF">
      <w:pPr>
        <w:autoSpaceDE w:val="0"/>
        <w:autoSpaceDN w:val="0"/>
        <w:adjustRightInd w:val="0"/>
        <w:ind w:left="426" w:right="1165"/>
        <w:jc w:val="both"/>
        <w:rPr>
          <w:lang w:val="en-GB" w:eastAsia="en-GB"/>
        </w:rPr>
      </w:pPr>
    </w:p>
    <w:p w14:paraId="1E12025D" w14:textId="77777777" w:rsidR="006329BF" w:rsidRDefault="006329BF" w:rsidP="006329BF">
      <w:pPr>
        <w:ind w:left="426" w:right="1165"/>
        <w:jc w:val="both"/>
        <w:rPr>
          <w:lang w:val="en-GB" w:eastAsia="en-GB"/>
        </w:rPr>
      </w:pPr>
      <w:r>
        <w:rPr>
          <w:lang w:val="en-GB" w:eastAsia="en-GB"/>
        </w:rPr>
        <w:t>Managing Director.</w:t>
      </w:r>
    </w:p>
    <w:p w14:paraId="33F15FE2" w14:textId="77777777" w:rsidR="006329BF" w:rsidRDefault="006329BF" w:rsidP="006329BF">
      <w:pPr>
        <w:ind w:left="426" w:right="1165"/>
        <w:jc w:val="both"/>
        <w:rPr>
          <w:lang w:val="en-GB" w:eastAsia="en-GB"/>
        </w:rPr>
      </w:pPr>
    </w:p>
    <w:p w14:paraId="36C6FC1C" w14:textId="08193DD9" w:rsidR="00260104" w:rsidRPr="006329BF" w:rsidRDefault="00260104" w:rsidP="006329BF">
      <w:pPr>
        <w:jc w:val="both"/>
        <w:rPr>
          <w:lang w:val="en-GB" w:eastAsia="en-GB"/>
        </w:rPr>
      </w:pPr>
    </w:p>
    <w:sectPr w:rsidR="00260104" w:rsidRPr="00632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25298"/>
    <w:multiLevelType w:val="hybridMultilevel"/>
    <w:tmpl w:val="56F44CF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46D35A93"/>
    <w:multiLevelType w:val="hybridMultilevel"/>
    <w:tmpl w:val="F4A03BC2"/>
    <w:lvl w:ilvl="0" w:tplc="CD2A4CD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51F5546"/>
    <w:multiLevelType w:val="hybridMultilevel"/>
    <w:tmpl w:val="658C3600"/>
    <w:lvl w:ilvl="0" w:tplc="08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85"/>
    <w:rsid w:val="00260104"/>
    <w:rsid w:val="006329BF"/>
    <w:rsid w:val="00C262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79C7"/>
  <w15:chartTrackingRefBased/>
  <w15:docId w15:val="{98279E6D-6E3A-4679-BEFB-A431E05C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9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2020-09-15T17:03:00Z</cp:lastPrinted>
  <dcterms:created xsi:type="dcterms:W3CDTF">2020-09-15T17:03:00Z</dcterms:created>
  <dcterms:modified xsi:type="dcterms:W3CDTF">2020-09-15T17:03:00Z</dcterms:modified>
</cp:coreProperties>
</file>