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Projects</w:t>
            </w:r>
          </w:p>
        </w:tc>
        <w:tc>
          <w:tcPr>
            <w:tcW w:w="1951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AGH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-07-2019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-07-2019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tbl>
      <w:tblPr>
        <w:tblW w:w="15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08"/>
        <w:gridCol w:w="1530"/>
        <w:gridCol w:w="1530"/>
        <w:gridCol w:w="2160"/>
        <w:gridCol w:w="1800"/>
        <w:gridCol w:w="1189"/>
        <w:gridCol w:w="6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1" w:hRule="atLeast"/>
        </w:trPr>
        <w:tc>
          <w:tcPr>
            <w:tcW w:w="1008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153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53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16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80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95952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29-07-2019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Khan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Kranthi</w:t>
            </w: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He need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days  time to come with family. He is looking 4bhk duplex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95840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20-07-2019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Ragya Naik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Rajkumar chagal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Need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days time out station now. For visit 2 bhk simplex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95843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20-07-2019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Narsimha Reddy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Call me after one week, he will visit site with family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95859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21-07-2019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M. Narsimha Reddy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He is interested 3 &amp; 2 Bhk,simplex &amp; duplex he need some time to decide.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His wife interested in east face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95861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21-07-2019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N. Srinivas / N Sai Akhil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Need some time to decide the site visit.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Looking east face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95916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27-07-2019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Linga reddy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After 10 days he will come to the site with family.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He i looking his uncle property in Miryalaguda he will finalize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95917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27-07-2019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G. Srinivas Murthy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simplex, he is looking in Manikonda also he will finalize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95918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27-07-2019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Padma /Satyanarayana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After 10 days he will come to the site with family. For simplex 2bhk but he is looking for east face only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right now she is in Hyd. Next week she will plan to the site visit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95919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27-07-2019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Ravinder Kasturi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Need some time to decide the site visit. Right now he is out of station he need some time visit the site he is looking for 2 bhk simplex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only East face.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6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95953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29-07-2019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David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Rajkumar chagal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After 10 days he will come to the site with family, then he ill decide simplex or duplex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95954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30-07-2019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Giridhar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Rajkumar chagal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First site visit is over he need some time to decide simplex or Duplex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95869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21-07-2019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Kiran Kumar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Rajkumar chagal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He is interested 2bhk simplex need some time decide.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as per Vastu he is looking for East face 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95870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21-07-2019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Ravi Kiran Aparna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Rajkumar chagal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He is interested in 2 bhk, need some time to decide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preferable only East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4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95887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22-07-2019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Nagendra vamshi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Kranthi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He is looking for 2 bhk simplex need sometime to decide.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95951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29-07-2019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shabbir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Kranthi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He is interested in 2 bhk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he is enquiry Casual he will come next week to the site.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95860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21-07-2019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Ashok A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He is  interested in 2 bhk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implex.he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Expecting Huge discount, he is expecting with in  42 laks budget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95920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27-07-2019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Venkat Reddy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interested in 71 simplex. But his daughters are out of station he will finalaise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1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95921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27-07-2019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Srinivas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dy</w:t>
            </w: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Apartment Near L B Nagar this week he will finalize L B Nagar or AGH simplex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95964</w:t>
            </w:r>
          </w:p>
        </w:tc>
        <w:tc>
          <w:tcPr>
            <w:tcW w:w="153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31-07-2019</w:t>
            </w:r>
          </w:p>
        </w:tc>
        <w:tc>
          <w:tcPr>
            <w:tcW w:w="216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MD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  <w:lang w:val="en-US"/>
              </w:rPr>
              <w:t>.K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areem</w:t>
            </w:r>
          </w:p>
        </w:tc>
        <w:tc>
          <w:tcPr>
            <w:tcW w:w="1800" w:type="dxa"/>
            <w:shd w:val="solid" w:color="FFFFFF" w:fill="auto"/>
            <w:textDirection w:val="lrTb"/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none"/>
                <w:shd w:val="clear" w:color="auto" w:fill="FFFFFF"/>
              </w:rPr>
              <w:t>Gopal Reddy</w:t>
            </w: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Simplex east face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1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0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9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1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0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6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3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13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6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8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7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" w:hRule="atLeast"/>
        </w:trPr>
        <w:tc>
          <w:tcPr>
            <w:tcW w:w="100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r:id="rId4" w:type="default"/>
      <w:footerReference r:id="rId5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Sun">
    <w:altName w:val="Times New Roman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altName w:val="Times New Roma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Lucida Sans Unicode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Cambria">
    <w:altName w:val="RomanS"/>
    <w:panose1 w:val="02040503050406030204"/>
    <w:charset w:val="00"/>
    <w:family w:val="auto"/>
    <w:pitch w:val="default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5237066">
    <w:nsid w:val="11005F4A"/>
    <w:multiLevelType w:val="multilevel"/>
    <w:tmpl w:val="11005F4A"/>
    <w:lvl w:ilvl="0" w:tentative="1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52370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9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6">
    <w:name w:val="List Paragraph1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5"/>
    <w:link w:val="4"/>
    <w:qFormat/>
    <w:uiPriority w:val="99"/>
    <w:rPr/>
  </w:style>
  <w:style w:type="character" w:customStyle="1" w:styleId="8">
    <w:name w:val="Footer Char"/>
    <w:basedOn w:val="5"/>
    <w:link w:val="3"/>
    <w:qFormat/>
    <w:uiPriority w:val="99"/>
    <w:rPr/>
  </w:style>
  <w:style w:type="character" w:customStyle="1" w:styleId="9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MMH</Company>
  <Pages>4</Pages>
  <Words>361</Words>
  <Characters>2062</Characters>
  <Lines>17</Lines>
  <Paragraphs>4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2019-07-22T06:54:00Z</dcterms:created>
  <dc:creator>aruna</dc:creator>
  <cp:lastModifiedBy>agh_admin</cp:lastModifiedBy>
  <cp:lastPrinted>2019-08-11T07:35:00Z</cp:lastPrinted>
  <dcterms:modified xsi:type="dcterms:W3CDTF">2019-08-11T07:58:27Z</dcterms:modified>
  <dc:title>Projects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