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Site : AMTZ Medpolis Square 4554 Pvt.Ltd</w:t>
      </w:r>
      <w:bookmarkStart w:id="0" w:name="_GoBack"/>
      <w:bookmarkEnd w:id="0"/>
      <w:r>
        <w:rPr>
          <w:rFonts w:hint="default"/>
          <w:lang w:val="en-US"/>
        </w:rPr>
        <w:tab/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Date : 31-01-2026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No details Available.</w:t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000" w:firstLineChars="1500"/>
      <w:rPr>
        <w:rFonts w:hint="default"/>
        <w:lang w:val="en-US"/>
      </w:rPr>
    </w:pPr>
    <w:r>
      <w:rPr>
        <w:rFonts w:hint="default"/>
        <w:lang w:val="en-US"/>
      </w:rPr>
      <w:t>Compliance Report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079DE"/>
    <w:rsid w:val="1BDE3041"/>
    <w:rsid w:val="5D70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2026-01-31T10:24:00Z</dcterms:created>
  <dc:creator>Eng</dc:creator>
  <cp:lastModifiedBy>Rambabu Mullapudi</cp:lastModifiedBy>
  <dcterms:modified xsi:type="dcterms:W3CDTF">2026-01-31T10:26:57Z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8931938382D14977B3BAE00C076D16BC_11</vt:lpwstr>
  </property>
</Properties>
</file>