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SOV.III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150</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 Rameshbabu</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20-11-1985</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90.00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 xml:space="preserve">Rs. 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90.00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1"/>
              </w:numPr>
              <w:rPr>
                <w:sz w:val="21"/>
                <w:szCs w:val="21"/>
                <w:lang w:val="en-US"/>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Rs. 4.0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86.00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Reference </w:t>
            </w:r>
            <w:r>
              <w:rPr>
                <w:sz w:val="21"/>
                <w:szCs w:val="21"/>
              </w:rPr>
              <w:t xml:space="preserve"> no.</w:t>
            </w:r>
          </w:p>
        </w:tc>
        <w:tc>
          <w:tcPr>
            <w:tcW w:w="2381" w:type="dxa"/>
            <w:vAlign w:val="center"/>
          </w:tcPr>
          <w:p>
            <w:pPr>
              <w:rPr>
                <w:sz w:val="21"/>
                <w:szCs w:val="21"/>
                <w:lang w:val="en-US"/>
              </w:rPr>
            </w:pPr>
            <w:r>
              <w:rPr>
                <w:sz w:val="21"/>
                <w:szCs w:val="21"/>
                <w:lang w:val="en-US"/>
              </w:rPr>
              <w:t>940121</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102009</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3546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APAPA8636B</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917525138795</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50701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0557" w:type="dxa"/>
            <w:gridSpan w:val="4"/>
            <w:vAlign w:val="center"/>
          </w:tcPr>
          <w:p>
            <w:pPr>
              <w:rPr>
                <w:sz w:val="21"/>
                <w:szCs w:val="21"/>
                <w:lang w:val="en-US"/>
              </w:rPr>
            </w:pPr>
            <w:r>
              <w:rPr>
                <w:sz w:val="21"/>
                <w:szCs w:val="21"/>
              </w:rPr>
              <w:t xml:space="preserve">Remarks </w:t>
            </w:r>
            <w:r>
              <w:rPr>
                <w:sz w:val="21"/>
                <w:szCs w:val="21"/>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Ms.  Shailaja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6B7D9"/>
    <w:multiLevelType w:val="singleLevel"/>
    <w:tmpl w:val="7DE6B7D9"/>
    <w:lvl w:ilvl="0" w:tentative="0">
      <w:start w:val="1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38170B1"/>
    <w:rsid w:val="051769B1"/>
    <w:rsid w:val="06DD03CC"/>
    <w:rsid w:val="07914894"/>
    <w:rsid w:val="09604753"/>
    <w:rsid w:val="09985E11"/>
    <w:rsid w:val="0E094225"/>
    <w:rsid w:val="10116B10"/>
    <w:rsid w:val="135519E9"/>
    <w:rsid w:val="13FD04AD"/>
    <w:rsid w:val="17B105B2"/>
    <w:rsid w:val="1F8872B6"/>
    <w:rsid w:val="24EC1E6E"/>
    <w:rsid w:val="283845F4"/>
    <w:rsid w:val="2E8474A8"/>
    <w:rsid w:val="2F122ECC"/>
    <w:rsid w:val="317563A4"/>
    <w:rsid w:val="331C3072"/>
    <w:rsid w:val="34492B14"/>
    <w:rsid w:val="37865DFF"/>
    <w:rsid w:val="37CE168B"/>
    <w:rsid w:val="3A2F0D6B"/>
    <w:rsid w:val="447C137F"/>
    <w:rsid w:val="46D61996"/>
    <w:rsid w:val="4E642CC7"/>
    <w:rsid w:val="514219D4"/>
    <w:rsid w:val="53395C23"/>
    <w:rsid w:val="556D7677"/>
    <w:rsid w:val="55D6678C"/>
    <w:rsid w:val="56A93147"/>
    <w:rsid w:val="5769683D"/>
    <w:rsid w:val="59A76314"/>
    <w:rsid w:val="5AF947C9"/>
    <w:rsid w:val="633E3FFA"/>
    <w:rsid w:val="63AC42CE"/>
    <w:rsid w:val="65F32A3B"/>
    <w:rsid w:val="66313CCB"/>
    <w:rsid w:val="678B42C1"/>
    <w:rsid w:val="69C53993"/>
    <w:rsid w:val="73E47135"/>
    <w:rsid w:val="79916EC1"/>
    <w:rsid w:val="7BC67C32"/>
    <w:rsid w:val="7FD8560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qFormat/>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23</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2020-09-22T10:48:36Z</cp:lastPrinted>
  <dcterms:modified xsi:type="dcterms:W3CDTF">2020-09-22T11:00:47Z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