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bookmarkStart w:id="0" w:name="_GoBack"/>
      <w:bookmarkEnd w:id="0"/>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rPr>
            </w:pPr>
            <w:r>
              <w:rPr>
                <w:sz w:val="21"/>
                <w:szCs w:val="21"/>
              </w:rPr>
              <w:t>1</w:t>
            </w:r>
            <w:r>
              <w:rPr>
                <w:sz w:val="21"/>
                <w:szCs w:val="21"/>
                <w:lang w:val="en-US"/>
              </w:rPr>
              <w:t>79</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M. Surya Prasad</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rPr>
            </w:pPr>
            <w:r>
              <w:rPr>
                <w:sz w:val="21"/>
                <w:szCs w:val="21"/>
                <w:lang w:val="en-US"/>
              </w:rPr>
              <w:t>20-06-1976</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r>
              <w:rPr>
                <w:sz w:val="21"/>
                <w:szCs w:val="21"/>
                <w:lang w:val="en-US"/>
              </w:rPr>
              <w:t>Shailaja Rani</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99</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r>
              <w:rPr>
                <w:sz w:val="21"/>
                <w:szCs w:val="21"/>
                <w:lang w:val="en-US"/>
              </w:rPr>
              <w:t>03-04-1981</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99</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1</w:t>
            </w:r>
            <w:r>
              <w:rPr>
                <w:sz w:val="21"/>
                <w:szCs w:val="21"/>
              </w:rPr>
              <w:t>,</w:t>
            </w:r>
            <w:r>
              <w:rPr>
                <w:sz w:val="21"/>
                <w:szCs w:val="21"/>
                <w:lang w:val="en-US"/>
              </w:rPr>
              <w:t>0</w:t>
            </w:r>
            <w:r>
              <w:rPr>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24-03-2021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98</w:t>
            </w:r>
            <w:r>
              <w:rPr>
                <w:sz w:val="21"/>
                <w:szCs w:val="21"/>
              </w:rPr>
              <w:t>,</w:t>
            </w:r>
            <w:r>
              <w:rPr>
                <w:sz w:val="21"/>
                <w:szCs w:val="21"/>
                <w:lang w:val="en-US"/>
              </w:rPr>
              <w:t>0</w:t>
            </w:r>
            <w:r>
              <w:rPr>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rPr>
            </w:pPr>
            <w:r>
              <w:rPr>
                <w:sz w:val="21"/>
                <w:szCs w:val="21"/>
                <w:lang w:val="en-US"/>
              </w:rPr>
              <w:t>252444</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rPr>
            </w:pPr>
            <w:r>
              <w:rPr>
                <w:sz w:val="21"/>
                <w:szCs w:val="21"/>
                <w:lang w:val="en-US"/>
              </w:rPr>
              <w:t>102046</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24-03-2021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8275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rPr>
            </w:pPr>
            <w:r>
              <w:rPr>
                <w:sz w:val="21"/>
                <w:szCs w:val="21"/>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AKKPB2881Q</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69907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9485 3132 2835</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69907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6396 4569 7331</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69907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 xml:space="preserv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rPr>
            </w:pPr>
            <w:r>
              <w:rPr>
                <w:sz w:val="21"/>
                <w:szCs w:val="21"/>
              </w:rP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Naresh</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2020-12-29T07:52:00Z</cp:lastPrinted>
  <dcterms:modified xsi:type="dcterms:W3CDTF">2021-03-24T09:33:00Z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