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r>
        <w:rPr>
          <w:sz w:val="21"/>
          <w:szCs w:val="21"/>
          <w:lang w:val="en-US"/>
        </w:rPr>
        <w:t>87408</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 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168</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K. Savitri Chatarji</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17-04-1974</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2</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03-10-2021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109</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106149</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104023</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03-10-2021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16431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 xml:space="preserve">Website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AKEPK6277D</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87407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6225 1893 9806</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87407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04-10-2021</w:t>
            </w:r>
          </w:p>
        </w:tc>
        <w:tc>
          <w:tcPr>
            <w:tcW w:w="2520" w:type="dxa"/>
            <w:vAlign w:val="center"/>
          </w:tcPr>
          <w:p>
            <w:pPr>
              <w:rPr>
                <w:sz w:val="21"/>
                <w:szCs w:val="21"/>
              </w:rPr>
            </w:pPr>
            <w:r>
              <w:rPr>
                <w:sz w:val="21"/>
                <w:szCs w:val="21"/>
              </w:rPr>
              <w:t>Date:</w:t>
            </w:r>
            <w:r>
              <w:rPr>
                <w:sz w:val="21"/>
                <w:szCs w:val="21"/>
                <w:lang w:val="en-US"/>
              </w:rPr>
              <w:t xml:space="preserve"> 04-10-2021</w:t>
            </w:r>
          </w:p>
        </w:tc>
        <w:tc>
          <w:tcPr>
            <w:tcW w:w="3060" w:type="dxa"/>
            <w:vAlign w:val="center"/>
          </w:tcPr>
          <w:p>
            <w:pPr>
              <w:rPr>
                <w:sz w:val="21"/>
                <w:szCs w:val="21"/>
              </w:rPr>
            </w:pPr>
            <w:r>
              <w:rPr>
                <w:sz w:val="21"/>
                <w:szCs w:val="21"/>
              </w:rPr>
              <w:t>Date:</w:t>
            </w:r>
            <w:r>
              <w:rPr>
                <w:sz w:val="21"/>
                <w:szCs w:val="21"/>
                <w:lang w:val="en-US"/>
              </w:rPr>
              <w:t xml:space="preserve"> 04-10-2021</w:t>
            </w:r>
          </w:p>
        </w:tc>
        <w:tc>
          <w:tcPr>
            <w:tcW w:w="2505" w:type="dxa"/>
            <w:vAlign w:val="center"/>
          </w:tcPr>
          <w:p>
            <w:pPr>
              <w:rPr>
                <w:sz w:val="21"/>
                <w:szCs w:val="21"/>
              </w:rPr>
            </w:pPr>
            <w:r>
              <w:rPr>
                <w:sz w:val="21"/>
                <w:szCs w:val="21"/>
              </w:rPr>
              <w:t>Date:</w:t>
            </w:r>
            <w:r>
              <w:rPr>
                <w:sz w:val="21"/>
                <w:szCs w:val="21"/>
                <w:lang w:val="en-US"/>
              </w:rPr>
              <w:t xml:space="preserve"> 04</w:t>
            </w:r>
            <w:bookmarkStart w:id="0" w:name="_GoBack"/>
            <w:bookmarkEnd w:id="0"/>
            <w:r>
              <w:rPr>
                <w:sz w:val="21"/>
                <w:szCs w:val="21"/>
                <w:lang w:val="en-US"/>
              </w:rPr>
              <w:t>-10-2021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2021-10-04T08:07:00Z</cp:lastPrinted>
  <dcterms:modified xsi:type="dcterms:W3CDTF">2021-10-04T08:17:23Z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